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C4" w:rsidRPr="005F5147" w:rsidRDefault="00D53DC4" w:rsidP="00D53DC4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5F5147">
        <w:rPr>
          <w:rFonts w:ascii="Times New Roman" w:hAnsi="Times New Roman" w:cs="Times New Roman"/>
          <w:b/>
          <w:bCs/>
          <w:sz w:val="24"/>
          <w:szCs w:val="24"/>
          <w:lang w:bidi="ar-DZ"/>
        </w:rPr>
        <w:t>Quelques notions relative</w:t>
      </w:r>
      <w:r>
        <w:rPr>
          <w:rFonts w:ascii="Times New Roman" w:hAnsi="Times New Roman" w:cs="Times New Roman"/>
          <w:b/>
          <w:bCs/>
          <w:sz w:val="24"/>
          <w:szCs w:val="24"/>
          <w:lang w:bidi="ar-DZ"/>
        </w:rPr>
        <w:t>s</w:t>
      </w:r>
      <w:r w:rsidRPr="005F5147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à l’approche interactionniste.</w:t>
      </w:r>
    </w:p>
    <w:p w:rsidR="00D53DC4" w:rsidRDefault="00D53DC4" w:rsidP="00D53DC4">
      <w:pPr>
        <w:bidi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584CA2">
        <w:rPr>
          <w:rFonts w:ascii="Times New Roman" w:hAnsi="Times New Roman" w:cs="Times New Roman"/>
          <w:sz w:val="24"/>
          <w:szCs w:val="24"/>
          <w:lang w:bidi="ar-DZ"/>
        </w:rPr>
        <w:t>On appelle « 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interaction verbale</w:t>
      </w:r>
      <w:r w:rsidRPr="00584CA2">
        <w:rPr>
          <w:rFonts w:ascii="Times New Roman" w:hAnsi="Times New Roman" w:cs="Times New Roman"/>
          <w:sz w:val="24"/>
          <w:szCs w:val="24"/>
          <w:lang w:bidi="ar-DZ"/>
        </w:rPr>
        <w:t> » tous les échanges oraux entre deux ou plusieurs personnes. Le terme « 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interaction </w:t>
      </w:r>
      <w:r w:rsidRPr="00584CA2">
        <w:rPr>
          <w:rFonts w:ascii="Times New Roman" w:hAnsi="Times New Roman" w:cs="Times New Roman"/>
          <w:sz w:val="24"/>
          <w:szCs w:val="24"/>
          <w:lang w:bidi="ar-DZ"/>
        </w:rPr>
        <w:t>» renvoie à l’idée d’une communication intentionnelle entre des personnes et le terme « 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verbal</w:t>
      </w:r>
      <w:r w:rsidRPr="00584CA2">
        <w:rPr>
          <w:rFonts w:ascii="Times New Roman" w:hAnsi="Times New Roman" w:cs="Times New Roman"/>
          <w:sz w:val="24"/>
          <w:szCs w:val="24"/>
          <w:lang w:bidi="ar-DZ"/>
        </w:rPr>
        <w:t> » à l’échange de paroles</w:t>
      </w:r>
      <w:r>
        <w:rPr>
          <w:rFonts w:ascii="Times New Roman" w:hAnsi="Times New Roman" w:cs="Times New Roman"/>
          <w:sz w:val="24"/>
          <w:szCs w:val="24"/>
          <w:lang w:bidi="ar-DZ"/>
        </w:rPr>
        <w:t>. C</w:t>
      </w:r>
      <w:r w:rsidRPr="00584CA2">
        <w:rPr>
          <w:rFonts w:ascii="Times New Roman" w:hAnsi="Times New Roman" w:cs="Times New Roman"/>
          <w:sz w:val="24"/>
          <w:szCs w:val="24"/>
          <w:lang w:bidi="ar-DZ"/>
        </w:rPr>
        <w:t>ertaines « interactions » peuvent donc être non verbales si elles se contentent par exemple de gestes et de mimiques</w:t>
      </w:r>
      <w:r>
        <w:rPr>
          <w:rFonts w:ascii="Times New Roman" w:hAnsi="Times New Roman" w:cs="Times New Roman"/>
          <w:sz w:val="24"/>
          <w:szCs w:val="24"/>
          <w:lang w:bidi="ar-DZ"/>
        </w:rPr>
        <w:t>.</w:t>
      </w:r>
    </w:p>
    <w:p w:rsidR="00D53DC4" w:rsidRDefault="00D53DC4" w:rsidP="00D53DC4">
      <w:pPr>
        <w:bidi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Il faut souligner que l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’interaction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et la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transaction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reposent sur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l’échange conversationnel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. </w:t>
      </w:r>
    </w:p>
    <w:p w:rsidR="00D53DC4" w:rsidRDefault="00D53DC4" w:rsidP="00D53DC4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D53DC4" w:rsidRPr="005838C7" w:rsidRDefault="00D53DC4" w:rsidP="00D53DC4">
      <w:pPr>
        <w:bidi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Ce dernier 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>a une fonction primordiale dan</w:t>
      </w:r>
      <w:r>
        <w:rPr>
          <w:rFonts w:ascii="Times New Roman" w:hAnsi="Times New Roman" w:cs="Times New Roman"/>
          <w:sz w:val="24"/>
          <w:szCs w:val="24"/>
          <w:lang w:bidi="ar-DZ"/>
        </w:rPr>
        <w:t>s l’interaction verbale, dans la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>quel</w:t>
      </w:r>
      <w:r>
        <w:rPr>
          <w:rFonts w:ascii="Times New Roman" w:hAnsi="Times New Roman" w:cs="Times New Roman"/>
          <w:sz w:val="24"/>
          <w:szCs w:val="24"/>
          <w:lang w:bidi="ar-DZ"/>
        </w:rPr>
        <w:t>le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les deux protagonistes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de l’échange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vont s’impliquer. Il se définit comme une unité </w:t>
      </w:r>
      <w:proofErr w:type="spellStart"/>
      <w:r w:rsidRPr="00543968">
        <w:rPr>
          <w:rFonts w:ascii="Times New Roman" w:hAnsi="Times New Roman" w:cs="Times New Roman"/>
          <w:sz w:val="24"/>
          <w:szCs w:val="24"/>
          <w:lang w:bidi="ar-DZ"/>
        </w:rPr>
        <w:t>dialogale</w:t>
      </w:r>
      <w:proofErr w:type="spellEnd"/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qui compose l’interaction, dans la mesure où les constituants sont les interventions. Dans cette perspective, </w:t>
      </w:r>
      <w:proofErr w:type="spellStart"/>
      <w:r w:rsidRPr="00543968">
        <w:rPr>
          <w:rFonts w:ascii="Times New Roman" w:hAnsi="Times New Roman" w:cs="Times New Roman"/>
          <w:sz w:val="24"/>
          <w:szCs w:val="24"/>
          <w:lang w:bidi="ar-DZ"/>
        </w:rPr>
        <w:t>Moeschler</w:t>
      </w:r>
      <w:proofErr w:type="spellEnd"/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affirme que : </w:t>
      </w:r>
      <w:r w:rsidRPr="004E2E4E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« L’échange est la plus petite unité dialogique composant l’interaction. Les constituants de l’échange sont les interventions qui entretiennent entre elles des relations illocutoires.»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 On peut définir cette unité </w:t>
      </w:r>
      <w:proofErr w:type="spellStart"/>
      <w:r w:rsidRPr="00543968">
        <w:rPr>
          <w:rFonts w:ascii="Times New Roman" w:hAnsi="Times New Roman" w:cs="Times New Roman"/>
          <w:sz w:val="24"/>
          <w:szCs w:val="24"/>
          <w:lang w:bidi="ar-DZ"/>
        </w:rPr>
        <w:t>dialogale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minimale " </w:t>
      </w:r>
      <w:r w:rsidRPr="004E2E4E">
        <w:rPr>
          <w:rFonts w:ascii="Times New Roman" w:hAnsi="Times New Roman" w:cs="Times New Roman"/>
          <w:i/>
          <w:iCs/>
          <w:sz w:val="24"/>
          <w:szCs w:val="24"/>
          <w:lang w:bidi="ar-DZ"/>
        </w:rPr>
        <w:t>l</w:t>
      </w:r>
      <w:r w:rsidRPr="004E2E4E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’échang</w:t>
      </w:r>
      <w:r w:rsidRPr="004E2E4E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bidi="ar-DZ"/>
        </w:rPr>
        <w:t>" par le terme</w:t>
      </w:r>
      <w:r w:rsidRPr="005838C7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« </w:t>
      </w:r>
      <w:r w:rsidRPr="005838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DZ"/>
        </w:rPr>
        <w:t>intervention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DZ"/>
        </w:rPr>
        <w:t>.</w:t>
      </w:r>
    </w:p>
    <w:p w:rsidR="00D53DC4" w:rsidRDefault="00D53DC4" w:rsidP="00D53DC4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53DC4" w:rsidRDefault="00D53DC4" w:rsidP="00D53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De plus,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l’échange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se constitue de deux ou trois i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nterventions.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Le chercher 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Goffman a précisé  des caractères spécifiques à chaque type d’échanges. On remarque que le premier vise à établir une relation entre les interlocuteurs et celle qui permet  à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l’échange  transactionnel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de concevoir les deux interventions, l’une  initiative </w:t>
      </w:r>
      <w:r w:rsidRPr="005838C7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illocutoire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, et  l’autre  </w:t>
      </w:r>
      <w:r w:rsidRPr="005838C7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réactive  illocutoire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bidi="ar-DZ"/>
        </w:rPr>
        <w:t>Pour plus d’explication, l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a  première  consiste  à  poser  des  questions  à l’interlocuteur et la deuxième consiste à donner des réponses, </w:t>
      </w:r>
      <w:r>
        <w:rPr>
          <w:rFonts w:ascii="Times New Roman" w:hAnsi="Times New Roman" w:cs="Times New Roman"/>
          <w:sz w:val="24"/>
          <w:szCs w:val="24"/>
          <w:lang w:bidi="ar-DZ"/>
        </w:rPr>
        <w:t>c’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est une évaluation par son interlocuteur. Elle peut être négative ou positive selon l’intervention de l’interlocuteur. </w:t>
      </w:r>
    </w:p>
    <w:p w:rsidR="00D53DC4" w:rsidRDefault="00D53DC4" w:rsidP="00D53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De ce fait, l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’échange représente une unité minimale </w:t>
      </w:r>
      <w:proofErr w:type="spellStart"/>
      <w:proofErr w:type="gramStart"/>
      <w:r w:rsidRPr="00543968">
        <w:rPr>
          <w:rFonts w:ascii="Times New Roman" w:hAnsi="Times New Roman" w:cs="Times New Roman"/>
          <w:sz w:val="24"/>
          <w:szCs w:val="24"/>
          <w:lang w:bidi="ar-DZ"/>
        </w:rPr>
        <w:t>dialog</w:t>
      </w:r>
      <w:r>
        <w:rPr>
          <w:rFonts w:ascii="Times New Roman" w:hAnsi="Times New Roman" w:cs="Times New Roman"/>
          <w:sz w:val="24"/>
          <w:szCs w:val="24"/>
          <w:lang w:bidi="ar-DZ"/>
        </w:rPr>
        <w:t>ale</w:t>
      </w:r>
      <w:proofErr w:type="spell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>.</w:t>
      </w:r>
      <w:proofErr w:type="gramEnd"/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Il y a des échanges avec une seule intervention, des éc</w:t>
      </w:r>
      <w:r>
        <w:rPr>
          <w:rFonts w:ascii="Times New Roman" w:hAnsi="Times New Roman" w:cs="Times New Roman"/>
          <w:sz w:val="24"/>
          <w:szCs w:val="24"/>
          <w:lang w:bidi="ar-DZ"/>
        </w:rPr>
        <w:t>hanges avec deux interventions,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d’autres avec trois interventions et encore d’aut</w:t>
      </w:r>
      <w:r>
        <w:rPr>
          <w:rFonts w:ascii="Times New Roman" w:hAnsi="Times New Roman" w:cs="Times New Roman"/>
          <w:sz w:val="24"/>
          <w:szCs w:val="24"/>
          <w:lang w:bidi="ar-DZ"/>
        </w:rPr>
        <w:t>re.</w:t>
      </w:r>
    </w:p>
    <w:p w:rsidR="00D53DC4" w:rsidRDefault="00D53DC4" w:rsidP="00D53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En ce qui concerne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l’intervention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, celle-ci 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est la grande unité </w:t>
      </w:r>
      <w:proofErr w:type="spellStart"/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monologale</w:t>
      </w:r>
      <w:proofErr w:type="spellEnd"/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 xml:space="preserve"> 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de l’interaction. Elle peut avoir diverses fonctions :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initiative (ouverture d’un échange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), 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réactive (réaction à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l’initiative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) Elle 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peut être sous forme de 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réponse o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u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réplique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. Au lieu d’utiliser la dualité   </w:t>
      </w:r>
      <w:proofErr w:type="spellStart"/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initiatif</w:t>
      </w:r>
      <w:proofErr w:type="spellEnd"/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/réactif</w:t>
      </w:r>
      <w:r>
        <w:rPr>
          <w:rFonts w:ascii="Times New Roman" w:hAnsi="Times New Roman" w:cs="Times New Roman"/>
          <w:sz w:val="24"/>
          <w:szCs w:val="24"/>
          <w:lang w:bidi="ar-DZ"/>
        </w:rPr>
        <w:t>, nous employons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l’emploi de la simple dichotomie 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réponse/réplique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. </w:t>
      </w:r>
    </w:p>
    <w:p w:rsidR="00D53DC4" w:rsidRPr="005F5147" w:rsidRDefault="00D53DC4" w:rsidP="00D53DC4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« Les˝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réponses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˝ au sens strict, qui apportent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une information demandée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>, et les ‘‘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répliques’’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qui </w:t>
      </w:r>
      <w:r w:rsidRPr="00B0766A">
        <w:rPr>
          <w:rFonts w:ascii="Times New Roman" w:hAnsi="Times New Roman" w:cs="Times New Roman"/>
          <w:b/>
          <w:bCs/>
          <w:i/>
          <w:iCs/>
          <w:sz w:val="24"/>
          <w:szCs w:val="24"/>
          <w:lang w:bidi="ar-DZ"/>
        </w:rPr>
        <w:t>commentent l’énonciation</w:t>
      </w:r>
      <w:r>
        <w:rPr>
          <w:rFonts w:ascii="Times New Roman" w:hAnsi="Times New Roman" w:cs="Times New Roman"/>
          <w:sz w:val="24"/>
          <w:szCs w:val="24"/>
          <w:lang w:bidi="ar-DZ"/>
        </w:rPr>
        <w:t>. »</w:t>
      </w:r>
      <w:r w:rsidRPr="00543968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5F5147">
        <w:rPr>
          <w:rFonts w:ascii="Times New Roman" w:hAnsi="Times New Roman" w:cs="Times New Roman"/>
          <w:color w:val="FF0000"/>
          <w:sz w:val="24"/>
          <w:szCs w:val="24"/>
          <w:lang w:bidi="ar-DZ"/>
        </w:rPr>
        <w:t>Et pour éclairer mieux toutes ces notions, je demande à l’ensemble des étudiants de me communiquer leurs sujets pour que l’on puisse saisir l’interaction et la transaction dans l’échange conversationnel.</w:t>
      </w:r>
    </w:p>
    <w:p w:rsidR="00D53DC4" w:rsidRPr="009506DE" w:rsidRDefault="00D53DC4" w:rsidP="00D53DC4">
      <w:pPr>
        <w:rPr>
          <w:rFonts w:asciiTheme="majorBidi" w:hAnsiTheme="majorBidi" w:cstheme="majorBidi"/>
          <w:sz w:val="24"/>
          <w:szCs w:val="24"/>
        </w:rPr>
      </w:pPr>
    </w:p>
    <w:p w:rsidR="007B44FB" w:rsidRPr="00D53DC4" w:rsidRDefault="00D53DC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B44FB" w:rsidRPr="00D5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C4"/>
    <w:rsid w:val="00D53DC4"/>
    <w:rsid w:val="00E57EB6"/>
    <w:rsid w:val="00F1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</dc:creator>
  <cp:lastModifiedBy>TBM</cp:lastModifiedBy>
  <cp:revision>1</cp:revision>
  <cp:lastPrinted>2020-04-21T21:11:00Z</cp:lastPrinted>
  <dcterms:created xsi:type="dcterms:W3CDTF">2020-04-21T21:08:00Z</dcterms:created>
  <dcterms:modified xsi:type="dcterms:W3CDTF">2020-04-21T21:11:00Z</dcterms:modified>
</cp:coreProperties>
</file>