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E18CC" w:rsidRPr="007E18CC" w:rsidRDefault="007E18CC" w:rsidP="00E934DC">
      <w:pPr>
        <w:spacing w:line="360" w:lineRule="auto"/>
        <w:jc w:val="center"/>
        <w:rPr>
          <w:b/>
          <w:bCs/>
        </w:rPr>
      </w:pPr>
      <w:r>
        <w:rPr>
          <w:b/>
          <w:bCs/>
        </w:rPr>
        <w:t xml:space="preserve">TP 02 : </w:t>
      </w:r>
      <w:r w:rsidRPr="007E18CC">
        <w:rPr>
          <w:b/>
          <w:bCs/>
        </w:rPr>
        <w:t>Indice de peroxyde</w:t>
      </w:r>
    </w:p>
    <w:p w:rsidR="007E18CC" w:rsidRPr="00E2765D" w:rsidRDefault="007E18CC" w:rsidP="00E2765D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E2765D">
        <w:rPr>
          <w:b/>
          <w:bCs/>
        </w:rPr>
        <w:t>Définition</w:t>
      </w:r>
    </w:p>
    <w:p w:rsidR="007E18CC" w:rsidRPr="007E18CC" w:rsidRDefault="007E18CC" w:rsidP="00E2765D">
      <w:pPr>
        <w:spacing w:line="360" w:lineRule="auto"/>
        <w:ind w:firstLine="360"/>
        <w:jc w:val="both"/>
      </w:pPr>
      <w:r w:rsidRPr="007E18CC">
        <w:t>L’indice de peroxyde est une mesure permettant d’estimer la quantité de peroxydes</w:t>
      </w:r>
      <w:r>
        <w:t xml:space="preserve"> </w:t>
      </w:r>
      <w:r w:rsidRPr="007E18CC">
        <w:t>présents dans une matière grasse. Les peroxydes sont des constituants caractéristiques de</w:t>
      </w:r>
      <w:r>
        <w:t xml:space="preserve"> </w:t>
      </w:r>
      <w:r w:rsidRPr="007E18CC">
        <w:t>l’oxydation des acides gras insaturés, ils sont déterminés en se basant sur leur propriété de</w:t>
      </w:r>
      <w:r>
        <w:t xml:space="preserve"> </w:t>
      </w:r>
      <w:r w:rsidRPr="007E18CC">
        <w:t>libérer l’iode de l’iodure de potassium dans les milieux acides. L’iode libéré est mesuré par la</w:t>
      </w:r>
      <w:r>
        <w:t xml:space="preserve"> </w:t>
      </w:r>
      <w:r w:rsidRPr="007E18CC">
        <w:t>réaction avec le thiosulfate, sachant que 1ml de thiosulfate 0,01 N correspond à une quantité</w:t>
      </w:r>
      <w:r>
        <w:t xml:space="preserve"> </w:t>
      </w:r>
      <w:r w:rsidRPr="007E18CC">
        <w:t xml:space="preserve">de 80 mg d’oxygène fixé sur les acides gras </w:t>
      </w:r>
      <w:r w:rsidRPr="007E18CC">
        <w:rPr>
          <w:b/>
          <w:bCs/>
        </w:rPr>
        <w:t>(Lion, 1955).</w:t>
      </w:r>
    </w:p>
    <w:p w:rsidR="007E18CC" w:rsidRPr="00E2765D" w:rsidRDefault="007E18CC" w:rsidP="00E2765D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E2765D">
        <w:rPr>
          <w:b/>
          <w:bCs/>
        </w:rPr>
        <w:t>Principe</w:t>
      </w:r>
    </w:p>
    <w:p w:rsidR="00554CD2" w:rsidRDefault="007E18CC" w:rsidP="00E2765D">
      <w:pPr>
        <w:spacing w:line="360" w:lineRule="auto"/>
        <w:ind w:firstLine="360"/>
        <w:jc w:val="both"/>
      </w:pPr>
      <w:r w:rsidRPr="007E18CC">
        <w:t>Il est basé sur le traitement de l’huile en solution dans de l’acide acétique et du</w:t>
      </w:r>
      <w:r>
        <w:t xml:space="preserve"> </w:t>
      </w:r>
      <w:r w:rsidRPr="007E18CC">
        <w:t>chloroforme par une solution d’iodure de potassium (KI), c’est le titrage de l’iode libéré par</w:t>
      </w:r>
      <w:r w:rsidR="00E934DC">
        <w:t xml:space="preserve"> </w:t>
      </w:r>
      <w:r w:rsidRPr="007E18CC">
        <w:t>une solution titrée de thiosulfate de sodium (Na2S2O3).</w:t>
      </w:r>
    </w:p>
    <w:p w:rsidR="00C33D35" w:rsidRPr="009A1CBB" w:rsidRDefault="00E2765D" w:rsidP="00C33D35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9A1CBB">
        <w:rPr>
          <w:b/>
          <w:bCs/>
        </w:rPr>
        <w:t>Matériel</w:t>
      </w:r>
      <w:r w:rsidR="00E35688" w:rsidRPr="009A1CBB">
        <w:rPr>
          <w:b/>
          <w:bCs/>
        </w:rPr>
        <w:t>s</w:t>
      </w:r>
      <w:r w:rsidRPr="009A1CBB">
        <w:rPr>
          <w:b/>
          <w:bCs/>
        </w:rPr>
        <w:t xml:space="preserve"> </w:t>
      </w:r>
      <w:r w:rsidR="00C33D35" w:rsidRPr="009A1CBB">
        <w:rPr>
          <w:b/>
          <w:bCs/>
        </w:rPr>
        <w:t>et réactifs</w:t>
      </w:r>
    </w:p>
    <w:p w:rsidR="00E2765D" w:rsidRDefault="00A80397" w:rsidP="00A80397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Huile d’olive frais, huile d’olive mal conservée.</w:t>
      </w:r>
    </w:p>
    <w:p w:rsidR="00C33D35" w:rsidRDefault="00C33D35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Acide acétique (CH3COOH)</w:t>
      </w:r>
      <w:r w:rsidR="000D4E34">
        <w:t>.</w:t>
      </w:r>
    </w:p>
    <w:p w:rsidR="00C33D35" w:rsidRDefault="00C33D35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Chloroforme</w:t>
      </w:r>
      <w:r w:rsidR="000D4E34">
        <w:t>.</w:t>
      </w:r>
    </w:p>
    <w:p w:rsidR="00C33D35" w:rsidRDefault="00C33D35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Solution</w:t>
      </w:r>
      <w:r>
        <w:t xml:space="preserve"> </w:t>
      </w:r>
      <w:r>
        <w:t>d’iodure de potassium</w:t>
      </w:r>
      <w:r w:rsidR="000D4E34">
        <w:t>.</w:t>
      </w:r>
    </w:p>
    <w:p w:rsidR="00C33D35" w:rsidRDefault="00C33D35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Empois d’amidon</w:t>
      </w:r>
      <w:r w:rsidR="000D4E34">
        <w:t>.</w:t>
      </w:r>
    </w:p>
    <w:p w:rsidR="00C33D35" w:rsidRDefault="00C33D35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Solution de thiosulfate de sodium 0.01N</w:t>
      </w:r>
      <w:r w:rsidR="000D4E34">
        <w:t>.</w:t>
      </w:r>
    </w:p>
    <w:p w:rsidR="000D4E34" w:rsidRDefault="000D4E34" w:rsidP="00C33D35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Bécher de 250 ml.</w:t>
      </w:r>
    </w:p>
    <w:p w:rsidR="000D4E34" w:rsidRDefault="000D4E34" w:rsidP="000D4E34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Burette graduée.</w:t>
      </w:r>
    </w:p>
    <w:p w:rsidR="00FF1C6D" w:rsidRDefault="00FF1C6D" w:rsidP="000D4E34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Erlenme</w:t>
      </w:r>
      <w:r w:rsidR="003B2558">
        <w:t>yer.</w:t>
      </w:r>
    </w:p>
    <w:p w:rsidR="00FF1C6D" w:rsidRDefault="00FF1C6D" w:rsidP="000D4E34">
      <w:pPr>
        <w:pStyle w:val="Paragraphedeliste"/>
        <w:numPr>
          <w:ilvl w:val="0"/>
          <w:numId w:val="5"/>
        </w:numPr>
        <w:spacing w:line="360" w:lineRule="auto"/>
        <w:jc w:val="both"/>
      </w:pPr>
      <w:r>
        <w:t>Eu distillée.</w:t>
      </w:r>
    </w:p>
    <w:p w:rsidR="00E2765D" w:rsidRPr="00E2765D" w:rsidRDefault="00E2765D" w:rsidP="00E35688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</w:rPr>
      </w:pPr>
      <w:r w:rsidRPr="00E2765D">
        <w:rPr>
          <w:b/>
          <w:bCs/>
        </w:rPr>
        <w:t>Préparation des solutions</w:t>
      </w:r>
    </w:p>
    <w:p w:rsidR="00E2765D" w:rsidRDefault="00E2765D" w:rsidP="00E35688">
      <w:pPr>
        <w:pStyle w:val="Paragraphedeliste"/>
        <w:numPr>
          <w:ilvl w:val="0"/>
          <w:numId w:val="2"/>
        </w:numPr>
        <w:spacing w:line="360" w:lineRule="auto"/>
        <w:jc w:val="both"/>
      </w:pPr>
      <w:r w:rsidRPr="00E2765D">
        <w:rPr>
          <w:b/>
          <w:bCs/>
        </w:rPr>
        <w:t>Préparation de la solution d’empois d’amidon :</w:t>
      </w:r>
      <w:r>
        <w:t xml:space="preserve"> on pèse environ 1 g d’amidon et on le</w:t>
      </w:r>
      <w:r>
        <w:t xml:space="preserve"> </w:t>
      </w:r>
      <w:r>
        <w:t>dissout dans 100 ml d’eau tiède.</w:t>
      </w:r>
    </w:p>
    <w:p w:rsidR="00E35688" w:rsidRPr="00E35688" w:rsidRDefault="00E2765D" w:rsidP="00E87E80">
      <w:pPr>
        <w:pStyle w:val="Paragraphedeliste"/>
        <w:numPr>
          <w:ilvl w:val="0"/>
          <w:numId w:val="2"/>
        </w:numPr>
        <w:spacing w:line="360" w:lineRule="auto"/>
        <w:jc w:val="both"/>
      </w:pPr>
      <w:r w:rsidRPr="00E2765D">
        <w:rPr>
          <w:b/>
          <w:bCs/>
        </w:rPr>
        <w:t>Préparation de la solution de thiosulfate de sodium (</w:t>
      </w:r>
      <w:bookmarkStart w:id="0" w:name="_Hlk527047330"/>
      <w:r w:rsidRPr="00E2765D">
        <w:rPr>
          <w:b/>
          <w:bCs/>
        </w:rPr>
        <w:t>Na</w:t>
      </w:r>
      <w:r w:rsidRPr="00A80397">
        <w:rPr>
          <w:b/>
          <w:bCs/>
          <w:vertAlign w:val="subscript"/>
        </w:rPr>
        <w:t>2</w:t>
      </w:r>
      <w:r w:rsidRPr="00E2765D">
        <w:rPr>
          <w:b/>
          <w:bCs/>
        </w:rPr>
        <w:t>S</w:t>
      </w:r>
      <w:r w:rsidRPr="00A80397">
        <w:rPr>
          <w:b/>
          <w:bCs/>
          <w:vertAlign w:val="subscript"/>
        </w:rPr>
        <w:t>2</w:t>
      </w:r>
      <w:r w:rsidRPr="00E2765D">
        <w:rPr>
          <w:b/>
          <w:bCs/>
        </w:rPr>
        <w:t>O</w:t>
      </w:r>
      <w:r w:rsidRPr="00A80397">
        <w:rPr>
          <w:b/>
          <w:bCs/>
          <w:vertAlign w:val="subscript"/>
        </w:rPr>
        <w:t>3</w:t>
      </w:r>
      <w:bookmarkEnd w:id="0"/>
      <w:r w:rsidRPr="00E2765D">
        <w:rPr>
          <w:b/>
          <w:bCs/>
        </w:rPr>
        <w:t>) à 0,01 N</w:t>
      </w:r>
      <w:r>
        <w:t xml:space="preserve"> : dissoudre</w:t>
      </w:r>
      <w:r w:rsidR="00A04E2C">
        <w:t xml:space="preserve"> </w:t>
      </w:r>
      <w:r>
        <w:t xml:space="preserve">2,48g de </w:t>
      </w:r>
      <w:r w:rsidR="00A80397" w:rsidRPr="00A80397">
        <w:rPr>
          <w:b/>
          <w:bCs/>
        </w:rPr>
        <w:t>Na</w:t>
      </w:r>
      <w:r w:rsidR="00A80397" w:rsidRPr="00A80397">
        <w:rPr>
          <w:b/>
          <w:bCs/>
          <w:vertAlign w:val="subscript"/>
        </w:rPr>
        <w:t>2</w:t>
      </w:r>
      <w:r w:rsidR="00A80397" w:rsidRPr="00A80397">
        <w:rPr>
          <w:b/>
          <w:bCs/>
        </w:rPr>
        <w:t>S</w:t>
      </w:r>
      <w:r w:rsidR="00A80397" w:rsidRPr="00A80397">
        <w:rPr>
          <w:b/>
          <w:bCs/>
          <w:vertAlign w:val="subscript"/>
        </w:rPr>
        <w:t>2</w:t>
      </w:r>
      <w:r w:rsidR="00A80397" w:rsidRPr="00A80397">
        <w:rPr>
          <w:b/>
          <w:bCs/>
        </w:rPr>
        <w:t>O</w:t>
      </w:r>
      <w:r w:rsidR="00A80397" w:rsidRPr="00A80397">
        <w:rPr>
          <w:b/>
          <w:bCs/>
          <w:vertAlign w:val="subscript"/>
        </w:rPr>
        <w:t>3</w:t>
      </w:r>
      <w:r w:rsidRPr="00E35688">
        <w:t xml:space="preserve"> dans un litre d’eau distillée</w:t>
      </w:r>
      <w:r w:rsidR="00E35688">
        <w:t>.</w:t>
      </w:r>
    </w:p>
    <w:p w:rsidR="00E35688" w:rsidRPr="00E35688" w:rsidRDefault="00E35688" w:rsidP="00E35688">
      <w:pPr>
        <w:pStyle w:val="Paragraphedeliste"/>
        <w:numPr>
          <w:ilvl w:val="0"/>
          <w:numId w:val="1"/>
        </w:numPr>
        <w:spacing w:line="360" w:lineRule="auto"/>
        <w:rPr>
          <w:b/>
          <w:bCs/>
        </w:rPr>
      </w:pPr>
      <w:r w:rsidRPr="00E35688">
        <w:rPr>
          <w:b/>
          <w:bCs/>
        </w:rPr>
        <w:t>Mode opératoire</w:t>
      </w:r>
      <w:r w:rsidRPr="00E35688">
        <w:rPr>
          <w:b/>
          <w:bCs/>
        </w:rPr>
        <w:t xml:space="preserve"> </w:t>
      </w:r>
    </w:p>
    <w:p w:rsidR="00C33D35" w:rsidRDefault="00C33D35" w:rsidP="00C33D35">
      <w:pPr>
        <w:pStyle w:val="Paragraphedeliste"/>
        <w:numPr>
          <w:ilvl w:val="0"/>
          <w:numId w:val="4"/>
        </w:numPr>
        <w:spacing w:line="360" w:lineRule="auto"/>
      </w:pPr>
      <w:r>
        <w:t xml:space="preserve">Prendre une prise d’1g d’huile dans un flacon de 250ml. </w:t>
      </w:r>
    </w:p>
    <w:p w:rsidR="00C33D35" w:rsidRDefault="00C33D35" w:rsidP="00C33D35">
      <w:pPr>
        <w:pStyle w:val="Paragraphedeliste"/>
        <w:numPr>
          <w:ilvl w:val="0"/>
          <w:numId w:val="4"/>
        </w:numPr>
        <w:spacing w:line="360" w:lineRule="auto"/>
      </w:pPr>
      <w:r>
        <w:t>Ajouter 25 ml du mélange</w:t>
      </w:r>
      <w:r>
        <w:t xml:space="preserve"> </w:t>
      </w:r>
      <w:r>
        <w:t xml:space="preserve">solvant, (acide acétique + chloroforme) puis 1ml d’iodure de potassium </w:t>
      </w:r>
    </w:p>
    <w:p w:rsidR="00C33D35" w:rsidRDefault="00C33D35" w:rsidP="00C33D35">
      <w:pPr>
        <w:pStyle w:val="Paragraphedeliste"/>
        <w:numPr>
          <w:ilvl w:val="0"/>
          <w:numId w:val="4"/>
        </w:numPr>
        <w:spacing w:line="360" w:lineRule="auto"/>
      </w:pPr>
      <w:r>
        <w:t xml:space="preserve"> Boucher aussitôt le flacon, agiter pendant 1 mn et l’abandonner 5 mn à l’abri de la lumière. </w:t>
      </w:r>
    </w:p>
    <w:p w:rsidR="00C33D35" w:rsidRDefault="00C33D35" w:rsidP="00C33D35">
      <w:pPr>
        <w:pStyle w:val="Paragraphedeliste"/>
        <w:numPr>
          <w:ilvl w:val="0"/>
          <w:numId w:val="4"/>
        </w:numPr>
        <w:spacing w:line="360" w:lineRule="auto"/>
      </w:pPr>
      <w:r>
        <w:lastRenderedPageBreak/>
        <w:t>Ajouter 50 ml d’eau</w:t>
      </w:r>
      <w:r>
        <w:t xml:space="preserve"> </w:t>
      </w:r>
      <w:r>
        <w:t xml:space="preserve">distillée, et titrer l’iode libéré par une solution de thiosulfate de sodium 0.01N en agitant vigoureusement en présence d’empois d’amidon 0.5 à 1% </w:t>
      </w:r>
      <w:r w:rsidR="00443D13">
        <w:t xml:space="preserve">(quelques gouttes) </w:t>
      </w:r>
      <w:r>
        <w:t xml:space="preserve">récemment préparée. </w:t>
      </w:r>
    </w:p>
    <w:p w:rsidR="00E35688" w:rsidRDefault="00C33D35" w:rsidP="00C33D35">
      <w:pPr>
        <w:pStyle w:val="Paragraphedeliste"/>
        <w:numPr>
          <w:ilvl w:val="0"/>
          <w:numId w:val="4"/>
        </w:numPr>
        <w:spacing w:line="360" w:lineRule="auto"/>
      </w:pPr>
      <w:r>
        <w:t>Effectuer parallèlement de la</w:t>
      </w:r>
      <w:r>
        <w:t xml:space="preserve"> </w:t>
      </w:r>
      <w:r>
        <w:t>même façon un essai à blanc sans corps gras.</w:t>
      </w:r>
    </w:p>
    <w:p w:rsidR="0072263E" w:rsidRPr="0072263E" w:rsidRDefault="00FF79B2" w:rsidP="0072263E">
      <w:pPr>
        <w:spacing w:line="360" w:lineRule="auto"/>
        <w:ind w:left="644"/>
        <w:rPr>
          <w:b/>
          <w:bCs/>
        </w:rPr>
      </w:pPr>
      <w:r w:rsidRPr="00FF79B2">
        <w:rPr>
          <w:noProof/>
        </w:rPr>
        <w:drawing>
          <wp:anchor distT="0" distB="0" distL="114300" distR="114300" simplePos="0" relativeHeight="251658240" behindDoc="0" locked="0" layoutInCell="1" allowOverlap="1" wp14:anchorId="3892A54C">
            <wp:simplePos x="0" y="0"/>
            <wp:positionH relativeFrom="column">
              <wp:posOffset>375285</wp:posOffset>
            </wp:positionH>
            <wp:positionV relativeFrom="paragraph">
              <wp:posOffset>360045</wp:posOffset>
            </wp:positionV>
            <wp:extent cx="847725" cy="1068705"/>
            <wp:effectExtent l="0" t="0" r="9525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6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263E" w:rsidRPr="0072263E">
        <w:rPr>
          <w:b/>
          <w:bCs/>
        </w:rPr>
        <w:t>Méthode de calcul</w:t>
      </w:r>
    </w:p>
    <w:p w:rsidR="0072263E" w:rsidRDefault="00FF79B2" w:rsidP="0072263E">
      <w:pPr>
        <w:spacing w:line="360" w:lineRule="auto"/>
        <w:ind w:left="644"/>
      </w:pPr>
      <w:r>
        <w:t xml:space="preserve"> </w:t>
      </w:r>
      <w:r w:rsidR="0072263E">
        <w:t>× 10 en milliéquivalents/Kg</w:t>
      </w:r>
    </w:p>
    <w:p w:rsidR="0072263E" w:rsidRDefault="0072263E" w:rsidP="0072263E">
      <w:pPr>
        <w:spacing w:line="360" w:lineRule="auto"/>
        <w:ind w:left="644"/>
      </w:pPr>
      <w:r>
        <w:t>× 5 en millimoles/Kg</w:t>
      </w:r>
    </w:p>
    <w:p w:rsidR="0072263E" w:rsidRDefault="0072263E" w:rsidP="0072263E">
      <w:pPr>
        <w:spacing w:line="360" w:lineRule="auto"/>
        <w:ind w:left="644"/>
      </w:pPr>
      <w:r>
        <w:t>× 80 en microgrammes /Kg</w:t>
      </w:r>
    </w:p>
    <w:p w:rsidR="00FF79B2" w:rsidRDefault="00FF79B2" w:rsidP="0072263E">
      <w:pPr>
        <w:spacing w:line="360" w:lineRule="auto"/>
        <w:ind w:left="644"/>
      </w:pPr>
    </w:p>
    <w:p w:rsidR="0072263E" w:rsidRDefault="0072263E" w:rsidP="0072263E">
      <w:pPr>
        <w:spacing w:line="360" w:lineRule="auto"/>
        <w:ind w:left="644"/>
      </w:pPr>
      <w:r>
        <w:t>Avec :</w:t>
      </w:r>
    </w:p>
    <w:p w:rsidR="0072263E" w:rsidRDefault="0072263E" w:rsidP="0072263E">
      <w:pPr>
        <w:spacing w:line="360" w:lineRule="auto"/>
        <w:ind w:left="644"/>
      </w:pPr>
      <w:r>
        <w:t>1millimole/kg = 2 milliéquivalents/kg = 16 microgrammes/g.</w:t>
      </w:r>
    </w:p>
    <w:p w:rsidR="0072263E" w:rsidRDefault="0072263E" w:rsidP="0072263E">
      <w:pPr>
        <w:spacing w:line="360" w:lineRule="auto"/>
        <w:ind w:left="644"/>
      </w:pPr>
      <w:r>
        <w:t>V0 : volume (ml) de Na2S2O3 (0,01 N) nécessaire pour titrer l’essai à blanc.</w:t>
      </w:r>
    </w:p>
    <w:p w:rsidR="0072263E" w:rsidRDefault="0072263E" w:rsidP="0072263E">
      <w:pPr>
        <w:spacing w:line="360" w:lineRule="auto"/>
        <w:ind w:left="644"/>
      </w:pPr>
      <w:r>
        <w:t>V : volume (ml) de Na2S2O3 (0,01 N) nécessaire pour titrer l’échantillon.</w:t>
      </w:r>
    </w:p>
    <w:p w:rsidR="0072263E" w:rsidRDefault="0072263E" w:rsidP="0072263E">
      <w:pPr>
        <w:spacing w:line="360" w:lineRule="auto"/>
        <w:ind w:left="644"/>
      </w:pPr>
      <w:r>
        <w:t>P : prise d’essai (g) de l’échantillon.</w:t>
      </w:r>
    </w:p>
    <w:p w:rsidR="00F63164" w:rsidRPr="00F63164" w:rsidRDefault="00F63164" w:rsidP="00F63164">
      <w:pPr>
        <w:spacing w:line="360" w:lineRule="auto"/>
        <w:rPr>
          <w:b/>
          <w:bCs/>
        </w:rPr>
      </w:pPr>
      <w:r w:rsidRPr="00F63164">
        <w:rPr>
          <w:b/>
          <w:bCs/>
        </w:rPr>
        <w:t>Compte rendu :</w:t>
      </w:r>
    </w:p>
    <w:p w:rsidR="00F63164" w:rsidRDefault="00F63164" w:rsidP="00F63164">
      <w:pPr>
        <w:pStyle w:val="Paragraphedeliste"/>
        <w:numPr>
          <w:ilvl w:val="0"/>
          <w:numId w:val="5"/>
        </w:numPr>
        <w:spacing w:line="360" w:lineRule="auto"/>
      </w:pPr>
      <w:r>
        <w:t>Schéma expliquant l’expérimentation ?</w:t>
      </w:r>
      <w:bookmarkStart w:id="1" w:name="_GoBack"/>
      <w:bookmarkEnd w:id="1"/>
    </w:p>
    <w:p w:rsidR="00F63164" w:rsidRDefault="00F63164" w:rsidP="00F63164">
      <w:pPr>
        <w:pStyle w:val="Paragraphedeliste"/>
        <w:numPr>
          <w:ilvl w:val="0"/>
          <w:numId w:val="5"/>
        </w:numPr>
        <w:spacing w:line="360" w:lineRule="auto"/>
      </w:pPr>
      <w:r>
        <w:t>Calculer l’indice de peroxyde et interpréter les résultats ?</w:t>
      </w:r>
    </w:p>
    <w:sectPr w:rsidR="00F63164" w:rsidSect="00D45A19">
      <w:footerReference w:type="default" r:id="rId8"/>
      <w:pgSz w:w="11906" w:h="16838"/>
      <w:pgMar w:top="1135" w:right="1417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7332D" w:rsidRDefault="0027332D" w:rsidP="00D45A19">
      <w:pPr>
        <w:spacing w:after="0" w:line="240" w:lineRule="auto"/>
      </w:pPr>
      <w:r>
        <w:separator/>
      </w:r>
    </w:p>
  </w:endnote>
  <w:endnote w:type="continuationSeparator" w:id="0">
    <w:p w:rsidR="0027332D" w:rsidRDefault="0027332D" w:rsidP="00D45A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0746819"/>
      <w:docPartObj>
        <w:docPartGallery w:val="Page Numbers (Bottom of Page)"/>
        <w:docPartUnique/>
      </w:docPartObj>
    </w:sdtPr>
    <w:sdtContent>
      <w:p w:rsidR="00D45A19" w:rsidRDefault="00D45A19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D45A19" w:rsidRDefault="00D45A19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7332D" w:rsidRDefault="0027332D" w:rsidP="00D45A19">
      <w:pPr>
        <w:spacing w:after="0" w:line="240" w:lineRule="auto"/>
      </w:pPr>
      <w:r>
        <w:separator/>
      </w:r>
    </w:p>
  </w:footnote>
  <w:footnote w:type="continuationSeparator" w:id="0">
    <w:p w:rsidR="0027332D" w:rsidRDefault="0027332D" w:rsidP="00D45A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42A69"/>
    <w:multiLevelType w:val="hybridMultilevel"/>
    <w:tmpl w:val="9920D224"/>
    <w:lvl w:ilvl="0" w:tplc="04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542D1C31"/>
    <w:multiLevelType w:val="hybridMultilevel"/>
    <w:tmpl w:val="2A36ACD6"/>
    <w:lvl w:ilvl="0" w:tplc="E8BCF672">
      <w:start w:val="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96A05CB"/>
    <w:multiLevelType w:val="hybridMultilevel"/>
    <w:tmpl w:val="F43EADDC"/>
    <w:lvl w:ilvl="0" w:tplc="040C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630C1600"/>
    <w:multiLevelType w:val="hybridMultilevel"/>
    <w:tmpl w:val="82B83F2A"/>
    <w:lvl w:ilvl="0" w:tplc="040C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9A92539"/>
    <w:multiLevelType w:val="hybridMultilevel"/>
    <w:tmpl w:val="EDDA4F2C"/>
    <w:lvl w:ilvl="0" w:tplc="C85E46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8CC"/>
    <w:rsid w:val="0005261B"/>
    <w:rsid w:val="000D4E34"/>
    <w:rsid w:val="0027332D"/>
    <w:rsid w:val="003B2558"/>
    <w:rsid w:val="003F6959"/>
    <w:rsid w:val="00443D13"/>
    <w:rsid w:val="00554CD2"/>
    <w:rsid w:val="0072263E"/>
    <w:rsid w:val="007E18CC"/>
    <w:rsid w:val="008A038E"/>
    <w:rsid w:val="009A1CBB"/>
    <w:rsid w:val="00A04E2C"/>
    <w:rsid w:val="00A80397"/>
    <w:rsid w:val="00AD651D"/>
    <w:rsid w:val="00AE62AB"/>
    <w:rsid w:val="00B352BD"/>
    <w:rsid w:val="00C33D35"/>
    <w:rsid w:val="00D45A19"/>
    <w:rsid w:val="00E2765D"/>
    <w:rsid w:val="00E35688"/>
    <w:rsid w:val="00E87E80"/>
    <w:rsid w:val="00E934DC"/>
    <w:rsid w:val="00F63164"/>
    <w:rsid w:val="00FF1C6D"/>
    <w:rsid w:val="00FF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A0B31"/>
  <w15:chartTrackingRefBased/>
  <w15:docId w15:val="{DBD68C6F-3E36-46E8-BC3B-87280F712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2765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D45A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45A19"/>
  </w:style>
  <w:style w:type="paragraph" w:styleId="Pieddepage">
    <w:name w:val="footer"/>
    <w:basedOn w:val="Normal"/>
    <w:link w:val="PieddepageCar"/>
    <w:uiPriority w:val="99"/>
    <w:unhideWhenUsed/>
    <w:rsid w:val="00D45A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45A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361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HADRI</dc:creator>
  <cp:keywords/>
  <dc:description/>
  <cp:lastModifiedBy>HADRI</cp:lastModifiedBy>
  <cp:revision>18</cp:revision>
  <dcterms:created xsi:type="dcterms:W3CDTF">2018-10-11T17:25:00Z</dcterms:created>
  <dcterms:modified xsi:type="dcterms:W3CDTF">2018-10-11T18:53:00Z</dcterms:modified>
</cp:coreProperties>
</file>