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00" w:rsidRDefault="00023600" w:rsidP="00023600">
      <w:pPr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>
        <w:rPr>
          <w:rFonts w:ascii="Times New Roman" w:hAnsi="Times New Roman" w:cs="Times New Roman"/>
          <w:highlight w:val="green"/>
        </w:rPr>
        <w:t>: OSMANI MOUNIA</w:t>
      </w:r>
    </w:p>
    <w:p w:rsidR="00023600" w:rsidRDefault="00023600" w:rsidP="00023600">
      <w:pPr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>
        <w:rPr>
          <w:rFonts w:ascii="Times New Roman" w:hAnsi="Times New Roman" w:cs="Times New Roman"/>
          <w:highlight w:val="green"/>
        </w:rPr>
        <w:t xml:space="preserve"> </w:t>
      </w:r>
      <w:hyperlink r:id="rId4" w:tgtFrame="_blank" w:history="1">
        <w:r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023600" w:rsidRDefault="00023600" w:rsidP="00023600">
      <w:pPr>
        <w:jc w:val="center"/>
        <w:rPr>
          <w:rFonts w:asciiTheme="majorBidi" w:hAnsiTheme="majorBidi" w:cstheme="majorBidi"/>
          <w:highlight w:val="green"/>
        </w:rPr>
      </w:pPr>
      <w:r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>
        <w:rPr>
          <w:rFonts w:asciiTheme="majorBidi" w:hAnsiTheme="majorBidi" w:cstheme="majorBidi"/>
          <w:highlight w:val="green"/>
        </w:rPr>
        <w:t xml:space="preserve"> : </w:t>
      </w:r>
      <w:hyperlink r:id="rId5" w:history="1">
        <w:r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023600" w:rsidRDefault="00023600" w:rsidP="000236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DLE1 (publication de cours/TD)</w:t>
      </w:r>
      <w:r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023600" w:rsidRDefault="00023600" w:rsidP="00023600">
      <w:pPr>
        <w:jc w:val="center"/>
        <w:rPr>
          <w:rFonts w:asciiTheme="majorBidi" w:hAnsiTheme="majorBidi" w:cstheme="majorBidi"/>
        </w:rPr>
      </w:pPr>
    </w:p>
    <w:p w:rsidR="00023600" w:rsidRDefault="00023600" w:rsidP="000236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Promotion:</w:t>
      </w:r>
      <w:r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023600" w:rsidRDefault="00023600" w:rsidP="000236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Semestre :</w:t>
      </w:r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023600" w:rsidRDefault="00023600" w:rsidP="000236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 (unité d’enseignement méthodologique) :</w:t>
      </w:r>
      <w:r>
        <w:rPr>
          <w:rFonts w:asciiTheme="majorBidi" w:hAnsiTheme="majorBidi" w:cstheme="majorBidi"/>
          <w:sz w:val="24"/>
          <w:szCs w:val="24"/>
        </w:rPr>
        <w:t xml:space="preserve"> Enseignement apprentissage de la communication écrite</w:t>
      </w:r>
    </w:p>
    <w:p w:rsidR="00023600" w:rsidRDefault="00023600" w:rsidP="000236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Coefficient</w:t>
      </w:r>
      <w:r>
        <w:rPr>
          <w:rFonts w:asciiTheme="majorBidi" w:hAnsiTheme="majorBidi" w:cstheme="majorBidi"/>
          <w:sz w:val="24"/>
          <w:szCs w:val="24"/>
        </w:rPr>
        <w:t xml:space="preserve">: 03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 </w:t>
      </w:r>
      <w:r>
        <w:rPr>
          <w:rFonts w:asciiTheme="majorBidi" w:hAnsiTheme="majorBidi" w:cstheme="majorBidi"/>
          <w:sz w:val="24"/>
          <w:szCs w:val="24"/>
        </w:rPr>
        <w:t xml:space="preserve">: 03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 :</w:t>
      </w:r>
      <w:r>
        <w:rPr>
          <w:rFonts w:asciiTheme="majorBidi" w:hAnsiTheme="majorBidi" w:cstheme="majorBidi"/>
          <w:sz w:val="24"/>
          <w:szCs w:val="24"/>
        </w:rPr>
        <w:t xml:space="preserve"> Notes de TD + EX</w:t>
      </w:r>
    </w:p>
    <w:p w:rsidR="00023600" w:rsidRDefault="00023600" w:rsidP="00023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600" w:rsidRDefault="00023600" w:rsidP="0002360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Initiation au module:</w:t>
      </w:r>
    </w:p>
    <w:p w:rsidR="00023600" w:rsidRPr="00023600" w:rsidRDefault="000236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36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Objectifs du module: </w:t>
      </w:r>
    </w:p>
    <w:p w:rsidR="00023600" w:rsidRPr="00023600" w:rsidRDefault="00023600">
      <w:pPr>
        <w:rPr>
          <w:rFonts w:asciiTheme="majorBidi" w:hAnsiTheme="majorBidi" w:cstheme="majorBidi"/>
          <w:sz w:val="24"/>
          <w:szCs w:val="24"/>
        </w:rPr>
      </w:pPr>
      <w:r w:rsidRPr="00023600">
        <w:rPr>
          <w:rFonts w:asciiTheme="majorBidi" w:hAnsiTheme="majorBidi" w:cstheme="majorBidi"/>
          <w:sz w:val="24"/>
          <w:szCs w:val="24"/>
        </w:rPr>
        <w:t xml:space="preserve">A l’issue de cet enseignement, l’étudiant sera capable de : </w:t>
      </w:r>
    </w:p>
    <w:p w:rsidR="00023600" w:rsidRPr="00023600" w:rsidRDefault="00023600">
      <w:pPr>
        <w:rPr>
          <w:rFonts w:asciiTheme="majorBidi" w:hAnsiTheme="majorBidi" w:cstheme="majorBidi"/>
          <w:sz w:val="24"/>
          <w:szCs w:val="24"/>
        </w:rPr>
      </w:pPr>
      <w:r w:rsidRPr="00023600">
        <w:rPr>
          <w:rFonts w:asciiTheme="majorBidi" w:hAnsiTheme="majorBidi" w:cstheme="majorBidi"/>
          <w:sz w:val="24"/>
          <w:szCs w:val="24"/>
        </w:rPr>
        <w:t xml:space="preserve">1. Connaitre les spécificités et les obstacles de la communication écrite (compréhension et production) </w:t>
      </w:r>
    </w:p>
    <w:p w:rsidR="00023600" w:rsidRPr="00023600" w:rsidRDefault="00023600">
      <w:pPr>
        <w:rPr>
          <w:rFonts w:asciiTheme="majorBidi" w:hAnsiTheme="majorBidi" w:cstheme="majorBidi"/>
          <w:sz w:val="24"/>
          <w:szCs w:val="24"/>
        </w:rPr>
      </w:pPr>
      <w:r w:rsidRPr="00023600">
        <w:rPr>
          <w:rFonts w:asciiTheme="majorBidi" w:hAnsiTheme="majorBidi" w:cstheme="majorBidi"/>
          <w:sz w:val="24"/>
          <w:szCs w:val="24"/>
        </w:rPr>
        <w:t xml:space="preserve">2. Connaitre les notions - clés de la didactique de l’écrit (genre de discours, processus de lecture, processus rédactionnels,…) </w:t>
      </w:r>
    </w:p>
    <w:p w:rsidR="00023600" w:rsidRPr="00023600" w:rsidRDefault="00023600">
      <w:pPr>
        <w:rPr>
          <w:rFonts w:asciiTheme="majorBidi" w:hAnsiTheme="majorBidi" w:cstheme="majorBidi"/>
          <w:sz w:val="24"/>
          <w:szCs w:val="24"/>
        </w:rPr>
      </w:pPr>
      <w:r w:rsidRPr="00023600">
        <w:rPr>
          <w:rFonts w:asciiTheme="majorBidi" w:hAnsiTheme="majorBidi" w:cstheme="majorBidi"/>
          <w:sz w:val="24"/>
          <w:szCs w:val="24"/>
        </w:rPr>
        <w:t>3. Analyser et critiquer une séquence de lecture / écriture d’un manuel, d’un programme,…</w:t>
      </w:r>
    </w:p>
    <w:p w:rsidR="00FF7B38" w:rsidRPr="00023600" w:rsidRDefault="00023600">
      <w:pPr>
        <w:rPr>
          <w:rFonts w:asciiTheme="majorBidi" w:hAnsiTheme="majorBidi" w:cstheme="majorBidi"/>
          <w:sz w:val="24"/>
          <w:szCs w:val="24"/>
        </w:rPr>
      </w:pPr>
      <w:r w:rsidRPr="00023600">
        <w:rPr>
          <w:rFonts w:asciiTheme="majorBidi" w:hAnsiTheme="majorBidi" w:cstheme="majorBidi"/>
          <w:sz w:val="24"/>
          <w:szCs w:val="24"/>
        </w:rPr>
        <w:t xml:space="preserve"> 4. Proposer des activités de compréhension et production de l’écrit en tenant compte des objectifs, des démarches et des stratégies à mettre en œuvre, de la situation et du contexte, du matériel et des outils didactiques</w:t>
      </w:r>
    </w:p>
    <w:sectPr w:rsidR="00FF7B38" w:rsidRPr="0002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3600"/>
    <w:rsid w:val="00023600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3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79777579203710" TargetMode="External"/><Relationship Id="rId5" Type="http://schemas.openxmlformats.org/officeDocument/2006/relationships/hyperlink" Target="https://www.facebook.com/mounia.osmani.98/" TargetMode="External"/><Relationship Id="rId4" Type="http://schemas.openxmlformats.org/officeDocument/2006/relationships/hyperlink" Target="mailto:mounia.osmani@univ-relizane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2022-02-18T19:32:00Z</dcterms:created>
  <dcterms:modified xsi:type="dcterms:W3CDTF">2022-02-18T19:38:00Z</dcterms:modified>
</cp:coreProperties>
</file>