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00" w:rsidRDefault="009B6E00" w:rsidP="009B6E00">
      <w:pPr>
        <w:shd w:val="clear" w:color="auto" w:fill="FFFFFF"/>
        <w:spacing w:after="150" w:line="360" w:lineRule="auto"/>
        <w:jc w:val="center"/>
        <w:outlineLvl w:val="1"/>
        <w:rPr>
          <w:rFonts w:asciiTheme="majorBidi" w:eastAsia="Times New Roman" w:hAnsiTheme="majorBidi" w:cstheme="majorBidi"/>
          <w:b/>
          <w:bCs/>
          <w:spacing w:val="3"/>
          <w:sz w:val="28"/>
          <w:szCs w:val="28"/>
          <w:lang w:eastAsia="fr-FR"/>
        </w:rPr>
      </w:pPr>
    </w:p>
    <w:p w:rsidR="009B6E00" w:rsidRDefault="009B6E00" w:rsidP="009B6E00">
      <w:pPr>
        <w:shd w:val="clear" w:color="auto" w:fill="FFFFFF"/>
        <w:spacing w:after="150" w:line="360" w:lineRule="auto"/>
        <w:jc w:val="center"/>
        <w:outlineLvl w:val="1"/>
        <w:rPr>
          <w:rFonts w:asciiTheme="majorBidi" w:hAnsiTheme="majorBidi" w:cstheme="majorBidi"/>
          <w:b/>
          <w:bCs/>
          <w:sz w:val="24"/>
          <w:szCs w:val="24"/>
        </w:rPr>
      </w:pPr>
      <w:r>
        <w:rPr>
          <w:rFonts w:asciiTheme="majorBidi" w:eastAsia="Times New Roman" w:hAnsiTheme="majorBidi" w:cstheme="majorBidi"/>
          <w:b/>
          <w:bCs/>
          <w:spacing w:val="3"/>
          <w:sz w:val="28"/>
          <w:szCs w:val="28"/>
          <w:lang w:eastAsia="fr-FR"/>
        </w:rPr>
        <w:t xml:space="preserve">Physiopathologie du </w:t>
      </w:r>
      <w:r>
        <w:rPr>
          <w:rFonts w:asciiTheme="majorBidi" w:hAnsiTheme="majorBidi" w:cstheme="majorBidi"/>
          <w:b/>
          <w:bCs/>
          <w:sz w:val="28"/>
          <w:szCs w:val="28"/>
        </w:rPr>
        <w:t xml:space="preserve">HBV </w:t>
      </w:r>
    </w:p>
    <w:p w:rsidR="009B6E00" w:rsidRDefault="009B6E00" w:rsidP="009B6E00">
      <w:pPr>
        <w:shd w:val="clear" w:color="auto" w:fill="FFFFFF"/>
        <w:spacing w:after="150" w:line="360" w:lineRule="auto"/>
        <w:jc w:val="center"/>
        <w:outlineLvl w:val="1"/>
        <w:rPr>
          <w:rFonts w:asciiTheme="majorBidi" w:hAnsiTheme="majorBidi" w:cstheme="majorBidi"/>
          <w:b/>
          <w:bCs/>
          <w:sz w:val="24"/>
          <w:szCs w:val="24"/>
        </w:rPr>
      </w:pPr>
    </w:p>
    <w:p w:rsidR="009B6E00" w:rsidRDefault="009B6E00" w:rsidP="009B6E00">
      <w:pPr>
        <w:shd w:val="clear" w:color="auto" w:fill="FFFFFF"/>
        <w:spacing w:after="150" w:line="360" w:lineRule="auto"/>
        <w:outlineLvl w:val="1"/>
        <w:rPr>
          <w:rFonts w:asciiTheme="majorBidi" w:hAnsiTheme="majorBidi" w:cstheme="majorBidi"/>
          <w:b/>
          <w:bCs/>
          <w:sz w:val="24"/>
          <w:szCs w:val="24"/>
        </w:rPr>
      </w:pPr>
      <w:r>
        <w:rPr>
          <w:rFonts w:asciiTheme="majorBidi" w:hAnsiTheme="majorBidi" w:cstheme="majorBidi"/>
          <w:b/>
          <w:bCs/>
          <w:sz w:val="24"/>
          <w:szCs w:val="24"/>
        </w:rPr>
        <w:t>1-Mode de transmission</w:t>
      </w:r>
    </w:p>
    <w:p w:rsidR="009B6E00" w:rsidRDefault="009B6E00" w:rsidP="009B6E00">
      <w:pPr>
        <w:shd w:val="clear" w:color="auto" w:fill="FFFFFF"/>
        <w:spacing w:after="150" w:line="360" w:lineRule="auto"/>
        <w:outlineLvl w:val="1"/>
        <w:rPr>
          <w:rFonts w:asciiTheme="majorBidi" w:hAnsiTheme="majorBidi" w:cstheme="majorBidi"/>
          <w:sz w:val="24"/>
          <w:szCs w:val="24"/>
        </w:rPr>
      </w:pPr>
      <w:r>
        <w:rPr>
          <w:rFonts w:asciiTheme="majorBidi" w:hAnsiTheme="majorBidi" w:cstheme="majorBidi"/>
          <w:sz w:val="24"/>
          <w:szCs w:val="24"/>
        </w:rPr>
        <w:t xml:space="preserve"> • Transmission parentérale principalement : sang et liquides biologiques contaminés par du sang.</w:t>
      </w:r>
    </w:p>
    <w:p w:rsidR="009B6E00" w:rsidRDefault="009B6E00" w:rsidP="009B6E00">
      <w:pPr>
        <w:shd w:val="clear" w:color="auto" w:fill="FFFFFF"/>
        <w:spacing w:after="150" w:line="360" w:lineRule="auto"/>
        <w:outlineLvl w:val="1"/>
        <w:rPr>
          <w:rFonts w:asciiTheme="majorBidi" w:hAnsiTheme="majorBidi" w:cstheme="majorBidi"/>
          <w:sz w:val="24"/>
          <w:szCs w:val="24"/>
        </w:rPr>
      </w:pPr>
      <w:r>
        <w:rPr>
          <w:rFonts w:asciiTheme="majorBidi" w:hAnsiTheme="majorBidi" w:cstheme="majorBidi"/>
          <w:sz w:val="24"/>
          <w:szCs w:val="24"/>
        </w:rPr>
        <w:t xml:space="preserve"> • Transmission par voie sexuelle </w:t>
      </w:r>
    </w:p>
    <w:p w:rsidR="009B6E00" w:rsidRDefault="009B6E00" w:rsidP="009B6E00">
      <w:pPr>
        <w:shd w:val="clear" w:color="auto" w:fill="FFFFFF"/>
        <w:spacing w:after="150" w:line="360" w:lineRule="auto"/>
        <w:outlineLvl w:val="1"/>
        <w:rPr>
          <w:rFonts w:asciiTheme="majorBidi" w:hAnsiTheme="majorBidi" w:cstheme="majorBidi"/>
          <w:sz w:val="24"/>
          <w:szCs w:val="24"/>
        </w:rPr>
      </w:pPr>
      <w:r>
        <w:rPr>
          <w:rFonts w:asciiTheme="majorBidi" w:hAnsiTheme="majorBidi" w:cstheme="majorBidi"/>
          <w:sz w:val="24"/>
          <w:szCs w:val="24"/>
        </w:rPr>
        <w:t xml:space="preserve">• Transmission mère-enfant. </w:t>
      </w:r>
    </w:p>
    <w:p w:rsidR="009B6E00" w:rsidRDefault="009B6E00" w:rsidP="009B6E00">
      <w:pPr>
        <w:shd w:val="clear" w:color="auto" w:fill="FFFFFF"/>
        <w:spacing w:after="150" w:line="360" w:lineRule="auto"/>
        <w:outlineLvl w:val="1"/>
        <w:rPr>
          <w:rFonts w:asciiTheme="majorBidi" w:hAnsiTheme="majorBidi" w:cstheme="majorBidi"/>
          <w:sz w:val="24"/>
          <w:szCs w:val="24"/>
        </w:rPr>
      </w:pPr>
      <w:r>
        <w:rPr>
          <w:rFonts w:asciiTheme="majorBidi" w:hAnsiTheme="majorBidi" w:cstheme="majorBidi"/>
          <w:sz w:val="24"/>
          <w:szCs w:val="24"/>
        </w:rPr>
        <w:t>• Accident exposant au sang.</w:t>
      </w:r>
    </w:p>
    <w:p w:rsidR="009B6E00" w:rsidRDefault="009B6E00" w:rsidP="009B6E00">
      <w:pPr>
        <w:shd w:val="clear" w:color="auto" w:fill="FFFFFF"/>
        <w:spacing w:after="150" w:line="360" w:lineRule="auto"/>
        <w:outlineLvl w:val="1"/>
        <w:rPr>
          <w:rFonts w:asciiTheme="majorBidi" w:eastAsia="Times New Roman" w:hAnsiTheme="majorBidi" w:cstheme="majorBidi"/>
          <w:b/>
          <w:bCs/>
          <w:spacing w:val="3"/>
          <w:sz w:val="24"/>
          <w:szCs w:val="24"/>
          <w:lang w:eastAsia="fr-FR"/>
        </w:rPr>
      </w:pPr>
      <w:r>
        <w:rPr>
          <w:rFonts w:asciiTheme="majorBidi" w:hAnsiTheme="majorBidi" w:cstheme="majorBidi"/>
          <w:sz w:val="24"/>
          <w:szCs w:val="24"/>
        </w:rPr>
        <w:t xml:space="preserve"> • La transmission du virus par l’intermédiaire du sperme, des sécrétions vaginales et de la salive est possible. Elle est nulle par l’intermédiaire des urines et des selles.</w:t>
      </w:r>
    </w:p>
    <w:p w:rsidR="009B6E00" w:rsidRDefault="009B6E00" w:rsidP="009B6E00">
      <w:pPr>
        <w:shd w:val="clear" w:color="auto" w:fill="FFFFFF"/>
        <w:spacing w:after="0" w:line="360" w:lineRule="auto"/>
        <w:rPr>
          <w:rFonts w:asciiTheme="majorBidi" w:eastAsia="Times New Roman" w:hAnsiTheme="majorBidi" w:cstheme="majorBidi"/>
          <w:b/>
          <w:bCs/>
          <w:sz w:val="24"/>
          <w:szCs w:val="24"/>
          <w:lang w:eastAsia="fr-FR"/>
        </w:rPr>
      </w:pPr>
    </w:p>
    <w:p w:rsidR="009B6E00" w:rsidRDefault="009B6E00" w:rsidP="009B6E00">
      <w:pPr>
        <w:shd w:val="clear" w:color="auto" w:fill="FFFFFF"/>
        <w:spacing w:after="0"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2-Signes cliniques d’une Hépatite aiguë</w:t>
      </w:r>
    </w:p>
    <w:p w:rsidR="009B6E00" w:rsidRDefault="009B6E00" w:rsidP="009B6E00">
      <w:pPr>
        <w:shd w:val="clear" w:color="auto" w:fill="FFFFFF"/>
        <w:spacing w:before="48" w:after="168" w:line="360" w:lineRule="auto"/>
        <w:ind w:left="240"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L'hépatite B aiguë est peu fréquente, elle se caractérise par une période d'incubation de 2 à 3 mois.</w:t>
      </w:r>
    </w:p>
    <w:p w:rsidR="009B6E00" w:rsidRDefault="009B6E00" w:rsidP="009B6E00">
      <w:pPr>
        <w:shd w:val="clear" w:color="auto" w:fill="FFFFFF"/>
        <w:spacing w:before="48" w:after="168" w:line="360" w:lineRule="auto"/>
        <w:ind w:left="240"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L'hépatite B aiguë se présente sous différentes formes :</w:t>
      </w:r>
    </w:p>
    <w:p w:rsidR="009B6E00" w:rsidRDefault="009B6E00" w:rsidP="009B6E00">
      <w:pPr>
        <w:pStyle w:val="Paragraphedeliste"/>
        <w:numPr>
          <w:ilvl w:val="0"/>
          <w:numId w:val="1"/>
        </w:numPr>
        <w:shd w:val="clear" w:color="auto" w:fill="FFFFFF"/>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Une forme asymptomatique ou anictérique dans 70% des cas environ.</w:t>
      </w:r>
    </w:p>
    <w:p w:rsidR="009B6E00" w:rsidRDefault="009B6E00" w:rsidP="009B6E00">
      <w:pPr>
        <w:pStyle w:val="Paragraphedeliste"/>
        <w:numPr>
          <w:ilvl w:val="0"/>
          <w:numId w:val="1"/>
        </w:numPr>
        <w:shd w:val="clear" w:color="auto" w:fill="FFFFFF"/>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Une forme symptomatique dans 30% des cas environ. La maladie commence par une altération de l'état général, une légère fièvre, des douleurs, le tout évoquant un état grippal ainsi que des troubles digestifs, une perte d'appétit, des nausées, des vomissements. L'ictère apparaît plus tard permettant d'affirmer le diagnostic. On note parfois un prurit comme dans toutes les formes d'hépatite dont il peut être le premier signe. La maladie dure quelques semaines, puis la plupart des personnes touchées présentent une amélioration progressive.</w:t>
      </w:r>
    </w:p>
    <w:p w:rsidR="009B6E00" w:rsidRDefault="009B6E00" w:rsidP="009B6E00">
      <w:pPr>
        <w:pStyle w:val="Paragraphedeliste"/>
        <w:numPr>
          <w:ilvl w:val="0"/>
          <w:numId w:val="1"/>
        </w:numPr>
        <w:shd w:val="clear" w:color="auto" w:fill="FFFFFF"/>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Une forme fulminante: 1 à 2% des cas environ. Les patients présentent des taux de prothrombine &lt;45% et des signes neurologiques d'insuffisance hépatique. Cette forme est létale dans 90% des cas.</w:t>
      </w:r>
    </w:p>
    <w:tbl>
      <w:tblPr>
        <w:tblW w:w="0" w:type="auto"/>
        <w:shd w:val="clear" w:color="auto" w:fill="FFFFFF"/>
        <w:tblCellMar>
          <w:left w:w="0" w:type="dxa"/>
          <w:right w:w="0" w:type="dxa"/>
        </w:tblCellMar>
        <w:tblLook w:val="04A0"/>
      </w:tblPr>
      <w:tblGrid>
        <w:gridCol w:w="7618"/>
      </w:tblGrid>
      <w:tr w:rsidR="009B6E00" w:rsidTr="009B6E00">
        <w:tc>
          <w:tcPr>
            <w:tcW w:w="0" w:type="auto"/>
            <w:shd w:val="clear" w:color="auto" w:fill="FFFFFF"/>
            <w:vAlign w:val="center"/>
            <w:hideMark/>
          </w:tcPr>
          <w:p w:rsidR="009B6E00" w:rsidRDefault="009B6E00">
            <w:pPr>
              <w:pStyle w:val="Paragraphedeliste"/>
              <w:numPr>
                <w:ilvl w:val="0"/>
                <w:numId w:val="1"/>
              </w:numPr>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Suite à une hépatite B aiguë, certains patients évoluent vers la chronicité.</w:t>
            </w:r>
          </w:p>
        </w:tc>
      </w:tr>
    </w:tbl>
    <w:p w:rsidR="009B6E00" w:rsidRDefault="009B6E00" w:rsidP="009B6E00">
      <w:pPr>
        <w:shd w:val="clear" w:color="auto" w:fill="FFFFFF"/>
        <w:bidi/>
        <w:spacing w:after="150" w:line="360" w:lineRule="auto"/>
        <w:jc w:val="right"/>
        <w:outlineLvl w:val="1"/>
        <w:rPr>
          <w:rFonts w:asciiTheme="majorBidi" w:eastAsia="Times New Roman" w:hAnsiTheme="majorBidi" w:cstheme="majorBidi"/>
          <w:b/>
          <w:bCs/>
          <w:spacing w:val="3"/>
          <w:sz w:val="24"/>
          <w:szCs w:val="24"/>
          <w:lang w:eastAsia="fr-FR"/>
        </w:rPr>
      </w:pPr>
    </w:p>
    <w:p w:rsidR="009B6E00" w:rsidRDefault="009B6E00" w:rsidP="009B6E00">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3-Diagnostic biologique </w:t>
      </w:r>
    </w:p>
    <w:p w:rsidR="009B6E00" w:rsidRDefault="009B6E00" w:rsidP="009B6E00">
      <w:pPr>
        <w:pStyle w:val="Paragraphedeliste"/>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Atteinte hépatique : Cytolyse hépatique : ALAT ,  ASAT élevé</w:t>
      </w:r>
    </w:p>
    <w:p w:rsidR="009B6E00" w:rsidRDefault="009B6E00" w:rsidP="009B6E00">
      <w:pPr>
        <w:spacing w:line="360" w:lineRule="auto"/>
        <w:rPr>
          <w:rFonts w:asciiTheme="majorBidi" w:hAnsiTheme="majorBidi" w:cstheme="majorBidi"/>
          <w:sz w:val="24"/>
          <w:szCs w:val="24"/>
        </w:rPr>
      </w:pPr>
      <w:r>
        <w:rPr>
          <w:rFonts w:asciiTheme="majorBidi" w:hAnsiTheme="majorBidi" w:cstheme="majorBidi"/>
          <w:sz w:val="24"/>
          <w:szCs w:val="24"/>
        </w:rPr>
        <w:t xml:space="preserve">                                            Pas d’insuffisance hépatique : TP &gt;60% </w:t>
      </w:r>
    </w:p>
    <w:p w:rsidR="009B6E00" w:rsidRDefault="009B6E00" w:rsidP="009B6E00">
      <w:pPr>
        <w:pStyle w:val="Paragraphedeliste"/>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Tests sérologiques : Ag HBs, Ac anti-HBs, Ag HBc (intrahépatique, non dosé), Ac anti-HBc, Ag HBe, Ac anti-HBe. </w:t>
      </w:r>
    </w:p>
    <w:p w:rsidR="009B6E00" w:rsidRDefault="009B6E00" w:rsidP="009B6E00">
      <w:pPr>
        <w:pStyle w:val="Paragraphedeliste"/>
        <w:numPr>
          <w:ilvl w:val="0"/>
          <w:numId w:val="3"/>
        </w:numPr>
        <w:spacing w:line="360" w:lineRule="auto"/>
        <w:rPr>
          <w:rFonts w:asciiTheme="majorBidi" w:hAnsiTheme="majorBidi" w:cstheme="majorBidi"/>
          <w:b/>
          <w:bCs/>
          <w:sz w:val="24"/>
          <w:szCs w:val="24"/>
        </w:rPr>
      </w:pPr>
      <w:r>
        <w:rPr>
          <w:rFonts w:asciiTheme="majorBidi" w:hAnsiTheme="majorBidi" w:cstheme="majorBidi"/>
          <w:sz w:val="24"/>
          <w:szCs w:val="24"/>
        </w:rPr>
        <w:t xml:space="preserve">Ag HBs = infection en cours ou portage chronique. </w:t>
      </w:r>
    </w:p>
    <w:p w:rsidR="009B6E00" w:rsidRDefault="009B6E00" w:rsidP="009B6E00">
      <w:pPr>
        <w:pStyle w:val="Paragraphedeliste"/>
        <w:numPr>
          <w:ilvl w:val="0"/>
          <w:numId w:val="3"/>
        </w:numPr>
        <w:spacing w:line="360" w:lineRule="auto"/>
        <w:rPr>
          <w:rFonts w:asciiTheme="majorBidi" w:hAnsiTheme="majorBidi" w:cstheme="majorBidi"/>
          <w:b/>
          <w:bCs/>
          <w:sz w:val="24"/>
          <w:szCs w:val="24"/>
        </w:rPr>
      </w:pPr>
      <w:r>
        <w:rPr>
          <w:rFonts w:asciiTheme="majorBidi" w:hAnsiTheme="majorBidi" w:cstheme="majorBidi"/>
          <w:sz w:val="24"/>
          <w:szCs w:val="24"/>
        </w:rPr>
        <w:t xml:space="preserve"> Ag HBe = infection en cours, multiplication virale importante. </w:t>
      </w:r>
    </w:p>
    <w:p w:rsidR="009B6E00" w:rsidRDefault="009B6E00" w:rsidP="009B6E00">
      <w:pPr>
        <w:pStyle w:val="Paragraphedeliste"/>
        <w:numPr>
          <w:ilvl w:val="0"/>
          <w:numId w:val="3"/>
        </w:numPr>
        <w:spacing w:line="360" w:lineRule="auto"/>
        <w:rPr>
          <w:rFonts w:asciiTheme="majorBidi" w:hAnsiTheme="majorBidi" w:cstheme="majorBidi"/>
          <w:b/>
          <w:bCs/>
          <w:sz w:val="24"/>
          <w:szCs w:val="24"/>
        </w:rPr>
      </w:pPr>
      <w:r>
        <w:rPr>
          <w:rFonts w:asciiTheme="majorBidi" w:hAnsiTheme="majorBidi" w:cstheme="majorBidi"/>
          <w:sz w:val="24"/>
          <w:szCs w:val="24"/>
        </w:rPr>
        <w:t xml:space="preserve"> Ac anti-HBe = absence de réplication virale. </w:t>
      </w:r>
    </w:p>
    <w:p w:rsidR="009B6E00" w:rsidRDefault="009B6E00" w:rsidP="009B6E00">
      <w:pPr>
        <w:pStyle w:val="Paragraphedeliste"/>
        <w:numPr>
          <w:ilvl w:val="0"/>
          <w:numId w:val="3"/>
        </w:numPr>
        <w:spacing w:line="360" w:lineRule="auto"/>
        <w:rPr>
          <w:rFonts w:asciiTheme="majorBidi" w:hAnsiTheme="majorBidi" w:cstheme="majorBidi"/>
          <w:b/>
          <w:bCs/>
          <w:sz w:val="24"/>
          <w:szCs w:val="24"/>
        </w:rPr>
      </w:pPr>
      <w:r>
        <w:rPr>
          <w:rFonts w:asciiTheme="majorBidi" w:hAnsiTheme="majorBidi" w:cstheme="majorBidi"/>
          <w:sz w:val="24"/>
          <w:szCs w:val="24"/>
        </w:rPr>
        <w:t xml:space="preserve">Ac anti-HBs = guérison-protection (spontanée ou vaccination, titre &gt; 10 mUI/ml). </w:t>
      </w:r>
    </w:p>
    <w:p w:rsidR="009B6E00" w:rsidRDefault="009B6E00" w:rsidP="009B6E00">
      <w:pPr>
        <w:pStyle w:val="Paragraphedeliste"/>
        <w:numPr>
          <w:ilvl w:val="0"/>
          <w:numId w:val="3"/>
        </w:numPr>
        <w:spacing w:line="360" w:lineRule="auto"/>
        <w:rPr>
          <w:rFonts w:asciiTheme="majorBidi" w:hAnsiTheme="majorBidi" w:cstheme="majorBidi"/>
          <w:b/>
          <w:bCs/>
          <w:sz w:val="24"/>
          <w:szCs w:val="24"/>
        </w:rPr>
      </w:pPr>
      <w:r>
        <w:rPr>
          <w:rFonts w:asciiTheme="majorBidi" w:hAnsiTheme="majorBidi" w:cstheme="majorBidi"/>
          <w:sz w:val="24"/>
          <w:szCs w:val="24"/>
        </w:rPr>
        <w:t xml:space="preserve"> Ac anti-HBc (IgG+) = </w:t>
      </w:r>
    </w:p>
    <w:p w:rsidR="009B6E00" w:rsidRDefault="009B6E00" w:rsidP="009B6E00">
      <w:pPr>
        <w:pStyle w:val="Paragraphedeliste"/>
        <w:numPr>
          <w:ilvl w:val="0"/>
          <w:numId w:val="4"/>
        </w:numPr>
        <w:spacing w:line="360" w:lineRule="auto"/>
        <w:rPr>
          <w:rFonts w:asciiTheme="majorBidi" w:hAnsiTheme="majorBidi" w:cstheme="majorBidi"/>
          <w:b/>
          <w:bCs/>
          <w:sz w:val="24"/>
          <w:szCs w:val="24"/>
        </w:rPr>
      </w:pPr>
      <w:r>
        <w:rPr>
          <w:rFonts w:asciiTheme="majorBidi" w:hAnsiTheme="majorBidi" w:cstheme="majorBidi"/>
          <w:sz w:val="24"/>
          <w:szCs w:val="24"/>
        </w:rPr>
        <w:t xml:space="preserve">IgM+ = infection récente (ou réactivation) </w:t>
      </w:r>
    </w:p>
    <w:p w:rsidR="009B6E00" w:rsidRDefault="009B6E00" w:rsidP="009B6E00">
      <w:pPr>
        <w:pStyle w:val="Paragraphedeliste"/>
        <w:numPr>
          <w:ilvl w:val="0"/>
          <w:numId w:val="4"/>
        </w:numPr>
        <w:spacing w:line="360" w:lineRule="auto"/>
        <w:rPr>
          <w:rFonts w:asciiTheme="majorBidi" w:hAnsiTheme="majorBidi" w:cstheme="majorBidi"/>
          <w:b/>
          <w:bCs/>
          <w:sz w:val="24"/>
          <w:szCs w:val="24"/>
        </w:rPr>
      </w:pPr>
      <w:r>
        <w:rPr>
          <w:rFonts w:asciiTheme="majorBidi" w:hAnsiTheme="majorBidi" w:cstheme="majorBidi"/>
          <w:sz w:val="24"/>
          <w:szCs w:val="24"/>
        </w:rPr>
        <w:t xml:space="preserve"> IgM- et Ag HBs- = infection ancienne</w:t>
      </w:r>
    </w:p>
    <w:p w:rsidR="009B6E00" w:rsidRDefault="009B6E00" w:rsidP="009B6E00">
      <w:pPr>
        <w:pStyle w:val="Paragraphedeliste"/>
        <w:numPr>
          <w:ilvl w:val="0"/>
          <w:numId w:val="4"/>
        </w:numPr>
        <w:spacing w:line="360" w:lineRule="auto"/>
        <w:rPr>
          <w:rFonts w:asciiTheme="majorBidi" w:hAnsiTheme="majorBidi" w:cstheme="majorBidi"/>
          <w:b/>
          <w:bCs/>
          <w:sz w:val="24"/>
          <w:szCs w:val="24"/>
        </w:rPr>
      </w:pPr>
      <w:r>
        <w:rPr>
          <w:rFonts w:asciiTheme="majorBidi" w:hAnsiTheme="majorBidi" w:cstheme="majorBidi"/>
          <w:sz w:val="24"/>
          <w:szCs w:val="24"/>
        </w:rPr>
        <w:t xml:space="preserve"> IgM- et Ag HBs+ = infection chronique </w:t>
      </w:r>
    </w:p>
    <w:p w:rsidR="009B6E00" w:rsidRDefault="009B6E00" w:rsidP="009B6E00">
      <w:pPr>
        <w:pStyle w:val="Paragraphedeliste"/>
        <w:numPr>
          <w:ilvl w:val="0"/>
          <w:numId w:val="2"/>
        </w:numPr>
        <w:spacing w:line="360" w:lineRule="auto"/>
        <w:rPr>
          <w:rFonts w:asciiTheme="majorBidi" w:hAnsiTheme="majorBidi" w:cstheme="majorBidi"/>
          <w:b/>
          <w:bCs/>
          <w:sz w:val="24"/>
          <w:szCs w:val="24"/>
        </w:rPr>
      </w:pPr>
      <w:r>
        <w:rPr>
          <w:rFonts w:asciiTheme="majorBidi" w:hAnsiTheme="majorBidi" w:cstheme="majorBidi"/>
          <w:sz w:val="24"/>
          <w:szCs w:val="24"/>
        </w:rPr>
        <w:t>Détection de l’ADN viral pour évaluer la réplication virale : tests quantitatifs ou test qualitatif par PCR : plus sensible.</w:t>
      </w:r>
    </w:p>
    <w:p w:rsidR="009B6E00" w:rsidRDefault="009B6E00" w:rsidP="009B6E00">
      <w:pPr>
        <w:spacing w:line="360" w:lineRule="auto"/>
        <w:rPr>
          <w:rFonts w:asciiTheme="majorBidi" w:hAnsiTheme="majorBidi" w:cstheme="majorBidi"/>
          <w:b/>
          <w:bCs/>
          <w:sz w:val="24"/>
          <w:szCs w:val="24"/>
        </w:rPr>
      </w:pPr>
      <w:r>
        <w:rPr>
          <w:noProof/>
          <w:lang w:eastAsia="fr-FR"/>
        </w:rPr>
        <w:drawing>
          <wp:inline distT="0" distB="0" distL="0" distR="0">
            <wp:extent cx="5521325" cy="3437890"/>
            <wp:effectExtent l="19050" t="0" r="3175" b="0"/>
            <wp:docPr id="1" name="Image 1" descr="evolu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tion2"/>
                    <pic:cNvPicPr>
                      <a:picLocks noChangeAspect="1" noChangeArrowheads="1"/>
                    </pic:cNvPicPr>
                  </pic:nvPicPr>
                  <pic:blipFill>
                    <a:blip r:embed="rId7" cstate="print"/>
                    <a:srcRect b="15259"/>
                    <a:stretch>
                      <a:fillRect/>
                    </a:stretch>
                  </pic:blipFill>
                  <pic:spPr bwMode="auto">
                    <a:xfrm>
                      <a:off x="0" y="0"/>
                      <a:ext cx="5521325" cy="3437890"/>
                    </a:xfrm>
                    <a:prstGeom prst="rect">
                      <a:avLst/>
                    </a:prstGeom>
                    <a:noFill/>
                    <a:ln w="9525">
                      <a:noFill/>
                      <a:miter lim="800000"/>
                      <a:headEnd/>
                      <a:tailEnd/>
                    </a:ln>
                  </pic:spPr>
                </pic:pic>
              </a:graphicData>
            </a:graphic>
          </wp:inline>
        </w:drawing>
      </w:r>
    </w:p>
    <w:p w:rsidR="009B6E00" w:rsidRDefault="009B6E00" w:rsidP="009B6E0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Figure 1 : Evolution des marqueurs  virologiques et sérologiques après une hépatite aigue évoluant vers la chronicité</w:t>
      </w:r>
    </w:p>
    <w:p w:rsidR="009B6E00" w:rsidRDefault="009B6E00" w:rsidP="009B6E00">
      <w:pPr>
        <w:shd w:val="clear" w:color="auto" w:fill="FFFFFF"/>
        <w:spacing w:after="0"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4- Hépatite D</w:t>
      </w:r>
    </w:p>
    <w:p w:rsidR="009B6E00" w:rsidRDefault="009B6E00" w:rsidP="009B6E00">
      <w:pPr>
        <w:shd w:val="clear" w:color="auto" w:fill="FFFFFF"/>
        <w:spacing w:after="0" w:line="360" w:lineRule="auto"/>
        <w:rPr>
          <w:rFonts w:asciiTheme="majorBidi" w:eastAsia="Times New Roman" w:hAnsiTheme="majorBidi" w:cstheme="majorBidi"/>
          <w:b/>
          <w:bCs/>
          <w:sz w:val="24"/>
          <w:szCs w:val="24"/>
          <w:lang w:eastAsia="fr-FR"/>
        </w:rPr>
      </w:pPr>
    </w:p>
    <w:p w:rsidR="009B6E00" w:rsidRDefault="009B6E00" w:rsidP="009B6E00">
      <w:pPr>
        <w:pStyle w:val="Paragraphedeliste"/>
        <w:numPr>
          <w:ilvl w:val="0"/>
          <w:numId w:val="5"/>
        </w:numPr>
        <w:shd w:val="clear" w:color="auto" w:fill="FFFFFF"/>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 virus de l’hépatite Delta</w:t>
      </w:r>
    </w:p>
    <w:tbl>
      <w:tblPr>
        <w:tblW w:w="0" w:type="auto"/>
        <w:shd w:val="clear" w:color="auto" w:fill="FFFFFF"/>
        <w:tblCellMar>
          <w:left w:w="0" w:type="dxa"/>
          <w:right w:w="0" w:type="dxa"/>
        </w:tblCellMar>
        <w:tblLook w:val="04A0"/>
      </w:tblPr>
      <w:tblGrid>
        <w:gridCol w:w="6368"/>
        <w:gridCol w:w="6"/>
      </w:tblGrid>
      <w:tr w:rsidR="009B6E00" w:rsidTr="009B6E00">
        <w:tc>
          <w:tcPr>
            <w:tcW w:w="0" w:type="auto"/>
            <w:shd w:val="clear" w:color="auto" w:fill="FFFFFF"/>
            <w:vAlign w:val="center"/>
            <w:hideMark/>
          </w:tcPr>
          <w:p w:rsidR="009B6E00" w:rsidRDefault="009B6E00">
            <w:pPr>
              <w:numPr>
                <w:ilvl w:val="0"/>
                <w:numId w:val="6"/>
              </w:numPr>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Virus découvert en 1977 </w:t>
            </w:r>
          </w:p>
          <w:p w:rsidR="009B6E00" w:rsidRDefault="009B6E00">
            <w:pPr>
              <w:numPr>
                <w:ilvl w:val="0"/>
                <w:numId w:val="6"/>
              </w:numPr>
              <w:spacing w:before="48" w:after="168" w:line="360" w:lineRule="auto"/>
              <w:ind w:right="240"/>
              <w:jc w:val="both"/>
              <w:rPr>
                <w:rFonts w:asciiTheme="majorBidi" w:eastAsia="Times New Roman" w:hAnsiTheme="majorBidi" w:cstheme="majorBidi"/>
                <w:sz w:val="24"/>
                <w:szCs w:val="24"/>
                <w:lang w:eastAsia="fr-FR"/>
              </w:rPr>
            </w:pPr>
            <w:r>
              <w:rPr>
                <w:rFonts w:asciiTheme="majorBidi" w:hAnsiTheme="majorBidi" w:cstheme="majorBidi"/>
                <w:color w:val="222222"/>
                <w:sz w:val="24"/>
                <w:szCs w:val="24"/>
                <w:shd w:val="clear" w:color="auto" w:fill="FFFFFF"/>
              </w:rPr>
              <w:t>Un petit virus à ARN circulaire</w:t>
            </w:r>
          </w:p>
          <w:p w:rsidR="009B6E00" w:rsidRDefault="009B6E00">
            <w:pPr>
              <w:numPr>
                <w:ilvl w:val="0"/>
                <w:numId w:val="7"/>
              </w:numPr>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Il n'existe qu'en présence d'une infection par le VHB</w:t>
            </w:r>
          </w:p>
          <w:p w:rsidR="009B6E00" w:rsidRDefault="009B6E00">
            <w:pPr>
              <w:numPr>
                <w:ilvl w:val="0"/>
                <w:numId w:val="7"/>
              </w:numPr>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Est responsable de :</w:t>
            </w:r>
          </w:p>
          <w:p w:rsidR="009B6E00" w:rsidRDefault="009B6E00">
            <w:pPr>
              <w:numPr>
                <w:ilvl w:val="1"/>
                <w:numId w:val="7"/>
              </w:numPr>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co-infection avec le VHB</w:t>
            </w:r>
          </w:p>
          <w:p w:rsidR="009B6E00" w:rsidRDefault="009B6E00">
            <w:pPr>
              <w:numPr>
                <w:ilvl w:val="1"/>
                <w:numId w:val="7"/>
              </w:numPr>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surinfection avec le VHB</w:t>
            </w:r>
          </w:p>
        </w:tc>
        <w:tc>
          <w:tcPr>
            <w:tcW w:w="0" w:type="auto"/>
            <w:shd w:val="clear" w:color="auto" w:fill="FFFFFF"/>
            <w:vAlign w:val="center"/>
          </w:tcPr>
          <w:p w:rsidR="009B6E00" w:rsidRDefault="009B6E00">
            <w:pPr>
              <w:spacing w:after="0" w:line="360" w:lineRule="auto"/>
              <w:jc w:val="center"/>
              <w:rPr>
                <w:rFonts w:asciiTheme="majorBidi" w:eastAsia="Times New Roman" w:hAnsiTheme="majorBidi" w:cstheme="majorBidi"/>
                <w:sz w:val="24"/>
                <w:szCs w:val="24"/>
                <w:lang w:eastAsia="fr-FR"/>
              </w:rPr>
            </w:pPr>
          </w:p>
        </w:tc>
      </w:tr>
    </w:tbl>
    <w:p w:rsidR="009B6E00" w:rsidRDefault="009B6E00" w:rsidP="009B6E00">
      <w:pPr>
        <w:pStyle w:val="Paragraphedeliste"/>
        <w:numPr>
          <w:ilvl w:val="0"/>
          <w:numId w:val="5"/>
        </w:numPr>
        <w:shd w:val="clear" w:color="auto" w:fill="FFFFFF"/>
        <w:spacing w:before="48" w:after="168" w:line="360" w:lineRule="auto"/>
        <w:ind w:right="24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Evolution soit en hépatite aiguë soit en hépatite chronique</w:t>
      </w:r>
    </w:p>
    <w:p w:rsidR="009B6E00" w:rsidRDefault="009B6E00" w:rsidP="009B6E00">
      <w:pPr>
        <w:pStyle w:val="Paragraphedeliste"/>
        <w:numPr>
          <w:ilvl w:val="0"/>
          <w:numId w:val="5"/>
        </w:numPr>
        <w:shd w:val="clear" w:color="auto" w:fill="FFFFFF"/>
        <w:spacing w:before="48" w:after="168" w:line="360" w:lineRule="auto"/>
        <w:ind w:right="240"/>
        <w:jc w:val="both"/>
      </w:pPr>
      <w:r>
        <w:rPr>
          <w:rFonts w:asciiTheme="majorBidi" w:eastAsia="Times New Roman" w:hAnsiTheme="majorBidi" w:cstheme="majorBidi"/>
          <w:sz w:val="24"/>
          <w:szCs w:val="24"/>
          <w:lang w:eastAsia="fr-FR"/>
        </w:rPr>
        <w:t>Le diagnostic sérologique est inutile si l'Antigène HBs est négatif ou on recherche IgM VHD et IgG VHD</w:t>
      </w:r>
    </w:p>
    <w:p w:rsidR="009B6E00" w:rsidRDefault="009B6E00" w:rsidP="009B6E00">
      <w:pPr>
        <w:pStyle w:val="Paragraphedeliste"/>
        <w:shd w:val="clear" w:color="auto" w:fill="FFFFFF"/>
        <w:spacing w:before="48" w:after="168" w:line="360" w:lineRule="auto"/>
        <w:ind w:right="240"/>
        <w:jc w:val="both"/>
      </w:pPr>
      <w:r>
        <w:rPr>
          <w:noProof/>
          <w:lang w:eastAsia="fr-FR"/>
        </w:rPr>
        <w:drawing>
          <wp:inline distT="0" distB="0" distL="0" distR="0">
            <wp:extent cx="4888230" cy="3463925"/>
            <wp:effectExtent l="19050" t="0" r="7620" b="0"/>
            <wp:docPr id="2" name="Image 1" descr="Virus+de+l’Hépat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irus+de+l’Hépatite+D"/>
                    <pic:cNvPicPr>
                      <a:picLocks noChangeAspect="1" noChangeArrowheads="1"/>
                    </pic:cNvPicPr>
                  </pic:nvPicPr>
                  <pic:blipFill>
                    <a:blip r:embed="rId8" cstate="print"/>
                    <a:srcRect l="6116" t="19647" r="9091"/>
                    <a:stretch>
                      <a:fillRect/>
                    </a:stretch>
                  </pic:blipFill>
                  <pic:spPr bwMode="auto">
                    <a:xfrm>
                      <a:off x="0" y="0"/>
                      <a:ext cx="4888230" cy="3463925"/>
                    </a:xfrm>
                    <a:prstGeom prst="rect">
                      <a:avLst/>
                    </a:prstGeom>
                    <a:noFill/>
                    <a:ln w="9525">
                      <a:noFill/>
                      <a:miter lim="800000"/>
                      <a:headEnd/>
                      <a:tailEnd/>
                    </a:ln>
                  </pic:spPr>
                </pic:pic>
              </a:graphicData>
            </a:graphic>
          </wp:inline>
        </w:drawing>
      </w:r>
    </w:p>
    <w:p w:rsidR="009B6E00" w:rsidRDefault="009B6E00" w:rsidP="009B6E00">
      <w:pPr>
        <w:tabs>
          <w:tab w:val="left" w:pos="1860"/>
        </w:tabs>
        <w:jc w:val="center"/>
        <w:rPr>
          <w:rFonts w:asciiTheme="majorBidi" w:hAnsiTheme="majorBidi" w:cstheme="majorBidi"/>
          <w:b/>
          <w:bCs/>
          <w:sz w:val="24"/>
          <w:szCs w:val="24"/>
        </w:rPr>
      </w:pPr>
      <w:r>
        <w:rPr>
          <w:rFonts w:asciiTheme="majorBidi" w:hAnsiTheme="majorBidi" w:cstheme="majorBidi"/>
          <w:b/>
          <w:bCs/>
          <w:sz w:val="24"/>
          <w:szCs w:val="24"/>
        </w:rPr>
        <w:t>Figure 2 :Virus de l’hépatite D</w:t>
      </w:r>
    </w:p>
    <w:p w:rsidR="001B1C4D" w:rsidRDefault="00A42060"/>
    <w:sectPr w:rsidR="001B1C4D" w:rsidSect="00832D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060" w:rsidRDefault="00A42060" w:rsidP="009B6E00">
      <w:pPr>
        <w:spacing w:after="0" w:line="240" w:lineRule="auto"/>
      </w:pPr>
      <w:r>
        <w:separator/>
      </w:r>
    </w:p>
  </w:endnote>
  <w:endnote w:type="continuationSeparator" w:id="0">
    <w:p w:rsidR="00A42060" w:rsidRDefault="00A42060" w:rsidP="009B6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885273"/>
      <w:docPartObj>
        <w:docPartGallery w:val="Page Numbers (Bottom of Page)"/>
        <w:docPartUnique/>
      </w:docPartObj>
    </w:sdtPr>
    <w:sdtContent>
      <w:p w:rsidR="009B6E00" w:rsidRDefault="009B6E00">
        <w:pPr>
          <w:pStyle w:val="Pieddepage"/>
          <w:jc w:val="center"/>
        </w:pPr>
        <w:fldSimple w:instr=" PAGE   \* MERGEFORMAT ">
          <w:r>
            <w:rPr>
              <w:noProof/>
            </w:rPr>
            <w:t>1</w:t>
          </w:r>
        </w:fldSimple>
      </w:p>
    </w:sdtContent>
  </w:sdt>
  <w:p w:rsidR="009B6E00" w:rsidRDefault="009B6E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060" w:rsidRDefault="00A42060" w:rsidP="009B6E00">
      <w:pPr>
        <w:spacing w:after="0" w:line="240" w:lineRule="auto"/>
      </w:pPr>
      <w:r>
        <w:separator/>
      </w:r>
    </w:p>
  </w:footnote>
  <w:footnote w:type="continuationSeparator" w:id="0">
    <w:p w:rsidR="00A42060" w:rsidRDefault="00A42060" w:rsidP="009B6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00" w:rsidRDefault="009B6E00" w:rsidP="009B6E00">
    <w:pPr>
      <w:pStyle w:val="En-tte"/>
    </w:pPr>
    <w:r>
      <w:t>Université de Relizane                                     Département de biologie                                  AU 2021-2022</w:t>
    </w:r>
  </w:p>
  <w:p w:rsidR="009B6E00" w:rsidRDefault="009B6E00">
    <w:pPr>
      <w:pStyle w:val="En-tte"/>
    </w:pPr>
    <w:r>
      <w:t>M1 microbiologie  CQ                                       cours de Virologie                                       Mme BELKHEIR 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9A0"/>
    <w:multiLevelType w:val="hybridMultilevel"/>
    <w:tmpl w:val="ED02114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D434B24"/>
    <w:multiLevelType w:val="hybridMultilevel"/>
    <w:tmpl w:val="722EBBC2"/>
    <w:lvl w:ilvl="0" w:tplc="040C000B">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5C91456"/>
    <w:multiLevelType w:val="hybridMultilevel"/>
    <w:tmpl w:val="6100A758"/>
    <w:lvl w:ilvl="0" w:tplc="040C0005">
      <w:start w:val="1"/>
      <w:numFmt w:val="bullet"/>
      <w:lvlText w:val=""/>
      <w:lvlJc w:val="left"/>
      <w:pPr>
        <w:ind w:left="50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9FE0960"/>
    <w:multiLevelType w:val="multilevel"/>
    <w:tmpl w:val="CA548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3A77E2"/>
    <w:multiLevelType w:val="multilevel"/>
    <w:tmpl w:val="CC88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0DD2A95"/>
    <w:multiLevelType w:val="hybridMultilevel"/>
    <w:tmpl w:val="8586CD74"/>
    <w:lvl w:ilvl="0" w:tplc="040C0001">
      <w:start w:val="1"/>
      <w:numFmt w:val="bullet"/>
      <w:lvlText w:val=""/>
      <w:lvlJc w:val="left"/>
      <w:pPr>
        <w:ind w:left="14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7E6657E2"/>
    <w:multiLevelType w:val="hybridMultilevel"/>
    <w:tmpl w:val="80106E5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9B6E00"/>
    <w:rsid w:val="00832D43"/>
    <w:rsid w:val="00962836"/>
    <w:rsid w:val="009653A2"/>
    <w:rsid w:val="009B6E00"/>
    <w:rsid w:val="00A420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E00"/>
    <w:pPr>
      <w:ind w:left="720"/>
      <w:contextualSpacing/>
    </w:pPr>
  </w:style>
  <w:style w:type="paragraph" w:styleId="Textedebulles">
    <w:name w:val="Balloon Text"/>
    <w:basedOn w:val="Normal"/>
    <w:link w:val="TextedebullesCar"/>
    <w:uiPriority w:val="99"/>
    <w:semiHidden/>
    <w:unhideWhenUsed/>
    <w:rsid w:val="009B6E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6E00"/>
    <w:rPr>
      <w:rFonts w:ascii="Tahoma" w:hAnsi="Tahoma" w:cs="Tahoma"/>
      <w:sz w:val="16"/>
      <w:szCs w:val="16"/>
    </w:rPr>
  </w:style>
  <w:style w:type="paragraph" w:styleId="En-tte">
    <w:name w:val="header"/>
    <w:basedOn w:val="Normal"/>
    <w:link w:val="En-tteCar"/>
    <w:uiPriority w:val="99"/>
    <w:semiHidden/>
    <w:unhideWhenUsed/>
    <w:rsid w:val="009B6E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6E00"/>
  </w:style>
  <w:style w:type="paragraph" w:styleId="Pieddepage">
    <w:name w:val="footer"/>
    <w:basedOn w:val="Normal"/>
    <w:link w:val="PieddepageCar"/>
    <w:uiPriority w:val="99"/>
    <w:unhideWhenUsed/>
    <w:rsid w:val="009B6E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6E00"/>
  </w:style>
</w:styles>
</file>

<file path=word/webSettings.xml><?xml version="1.0" encoding="utf-8"?>
<w:webSettings xmlns:r="http://schemas.openxmlformats.org/officeDocument/2006/relationships" xmlns:w="http://schemas.openxmlformats.org/wordprocessingml/2006/main">
  <w:divs>
    <w:div w:id="5343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437</Words>
  <Characters>2404</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1</cp:revision>
  <dcterms:created xsi:type="dcterms:W3CDTF">2022-02-23T06:19:00Z</dcterms:created>
  <dcterms:modified xsi:type="dcterms:W3CDTF">2022-02-23T06:24:00Z</dcterms:modified>
</cp:coreProperties>
</file>