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5F0F" w:rsidRPr="00012E42" w:rsidRDefault="007B5F0F" w:rsidP="007B5F0F">
      <w:pPr>
        <w:spacing w:before="0" w:beforeAutospacing="0" w:after="0" w:afterAutospacing="0"/>
      </w:pPr>
      <w:r w:rsidRPr="00012E42">
        <w:t>V</w:t>
      </w:r>
      <w:r>
        <w:t>II</w:t>
      </w:r>
      <w:r w:rsidRPr="00012E42">
        <w:t>- Les relations logiques (connecteurs):</w:t>
      </w:r>
    </w:p>
    <w:p w:rsidR="007B5F0F" w:rsidRPr="00012E42" w:rsidRDefault="007B5F0F" w:rsidP="007B5F0F">
      <w:pPr>
        <w:spacing w:before="0" w:beforeAutospacing="0" w:after="0" w:afterAutospacing="0"/>
      </w:pPr>
      <w:bookmarkStart w:id="0" w:name="c"/>
      <w:bookmarkEnd w:id="0"/>
      <w:r w:rsidRPr="00012E42">
        <w:t>1. Des relations implicites ou explicites:</w:t>
      </w:r>
    </w:p>
    <w:p w:rsidR="007B5F0F" w:rsidRPr="00012E42" w:rsidRDefault="007B5F0F" w:rsidP="007B5F0F">
      <w:pPr>
        <w:spacing w:before="0" w:beforeAutospacing="0" w:after="0" w:afterAutospacing="0"/>
      </w:pPr>
      <w:r w:rsidRPr="00012E42">
        <w:t xml:space="preserve">Les </w:t>
      </w:r>
      <w:r w:rsidRPr="00012E42">
        <w:rPr>
          <w:b/>
          <w:bCs/>
        </w:rPr>
        <w:t>relations logiques</w:t>
      </w:r>
      <w:r w:rsidRPr="00012E42">
        <w:t xml:space="preserve"> sont parfois </w:t>
      </w:r>
      <w:r w:rsidRPr="00012E42">
        <w:rPr>
          <w:b/>
          <w:bCs/>
        </w:rPr>
        <w:t>implicites</w:t>
      </w:r>
      <w:r w:rsidRPr="00012E42">
        <w:t>. C'est alors au lecteur de les déceler à travers certains indices:</w:t>
      </w:r>
    </w:p>
    <w:p w:rsidR="007B5F0F" w:rsidRPr="00012E42" w:rsidRDefault="007B5F0F" w:rsidP="007B5F0F">
      <w:pPr>
        <w:spacing w:before="0" w:beforeAutospacing="0" w:after="0" w:afterAutospacing="0"/>
      </w:pPr>
      <w:r w:rsidRPr="00012E42">
        <w:t> </w:t>
      </w:r>
      <w:r w:rsidRPr="00012E42">
        <w:rPr>
          <w:noProof/>
        </w:rPr>
        <w:drawing>
          <wp:inline distT="0" distB="0" distL="0" distR="0">
            <wp:extent cx="76200" cy="76200"/>
            <wp:effectExtent l="19050" t="0" r="0" b="0"/>
            <wp:docPr id="16" name="Image 16" descr="http://www.espacefrancais.com/Images/puc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espacefrancais.com/Images/puce.gif"/>
                    <pic:cNvPicPr>
                      <a:picLocks noChangeAspect="1" noChangeArrowheads="1"/>
                    </pic:cNvPicPr>
                  </pic:nvPicPr>
                  <pic:blipFill>
                    <a:blip r:embed="rId4"/>
                    <a:srcRect/>
                    <a:stretch>
                      <a:fillRect/>
                    </a:stretch>
                  </pic:blipFill>
                  <pic:spPr bwMode="auto">
                    <a:xfrm>
                      <a:off x="0" y="0"/>
                      <a:ext cx="76200" cy="76200"/>
                    </a:xfrm>
                    <a:prstGeom prst="rect">
                      <a:avLst/>
                    </a:prstGeom>
                    <a:noFill/>
                    <a:ln w="9525">
                      <a:noFill/>
                      <a:miter lim="800000"/>
                      <a:headEnd/>
                      <a:tailEnd/>
                    </a:ln>
                  </pic:spPr>
                </pic:pic>
              </a:graphicData>
            </a:graphic>
          </wp:inline>
        </w:drawing>
      </w:r>
      <w:hyperlink r:id="rId5" w:history="1">
        <w:r w:rsidRPr="00012E42">
          <w:rPr>
            <w:u w:val="single"/>
          </w:rPr>
          <w:t xml:space="preserve">La </w:t>
        </w:r>
        <w:r w:rsidRPr="00012E42">
          <w:rPr>
            <w:b/>
            <w:bCs/>
            <w:u w:val="single"/>
          </w:rPr>
          <w:t>ponctuation</w:t>
        </w:r>
      </w:hyperlink>
      <w:r w:rsidRPr="00012E42">
        <w:t xml:space="preserve"> (les deux points "</w:t>
      </w:r>
      <w:r w:rsidRPr="00012E42">
        <w:rPr>
          <w:b/>
          <w:bCs/>
        </w:rPr>
        <w:t>:</w:t>
      </w:r>
      <w:r w:rsidRPr="00012E42">
        <w:t>" peuvent introduire un exemple, les parenthèses "</w:t>
      </w:r>
      <w:r w:rsidRPr="00012E42">
        <w:rPr>
          <w:b/>
          <w:bCs/>
        </w:rPr>
        <w:t>( )</w:t>
      </w:r>
      <w:r w:rsidRPr="00012E42">
        <w:t>" intégrer un détail supplémentaire, le point d'interrogation "</w:t>
      </w:r>
      <w:r w:rsidRPr="00012E42">
        <w:rPr>
          <w:b/>
          <w:bCs/>
        </w:rPr>
        <w:t>?</w:t>
      </w:r>
      <w:r w:rsidRPr="00012E42">
        <w:t>" annoncer une explication).</w:t>
      </w:r>
      <w:r w:rsidRPr="00012E42">
        <w:br/>
        <w:t> </w:t>
      </w:r>
      <w:r w:rsidRPr="00012E42">
        <w:rPr>
          <w:noProof/>
        </w:rPr>
        <w:drawing>
          <wp:inline distT="0" distB="0" distL="0" distR="0">
            <wp:extent cx="76200" cy="76200"/>
            <wp:effectExtent l="19050" t="0" r="0" b="0"/>
            <wp:docPr id="17" name="Image 17" descr="http://www.espacefrancais.com/Images/puc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espacefrancais.com/Images/puce.gif"/>
                    <pic:cNvPicPr>
                      <a:picLocks noChangeAspect="1" noChangeArrowheads="1"/>
                    </pic:cNvPicPr>
                  </pic:nvPicPr>
                  <pic:blipFill>
                    <a:blip r:embed="rId4"/>
                    <a:srcRect/>
                    <a:stretch>
                      <a:fillRect/>
                    </a:stretch>
                  </pic:blipFill>
                  <pic:spPr bwMode="auto">
                    <a:xfrm>
                      <a:off x="0" y="0"/>
                      <a:ext cx="76200" cy="76200"/>
                    </a:xfrm>
                    <a:prstGeom prst="rect">
                      <a:avLst/>
                    </a:prstGeom>
                    <a:noFill/>
                    <a:ln w="9525">
                      <a:noFill/>
                      <a:miter lim="800000"/>
                      <a:headEnd/>
                      <a:tailEnd/>
                    </a:ln>
                  </pic:spPr>
                </pic:pic>
              </a:graphicData>
            </a:graphic>
          </wp:inline>
        </w:drawing>
      </w:r>
      <w:r w:rsidRPr="00012E42">
        <w:t xml:space="preserve">La </w:t>
      </w:r>
      <w:r w:rsidRPr="00012E42">
        <w:rPr>
          <w:b/>
          <w:bCs/>
        </w:rPr>
        <w:t>juxtaposition</w:t>
      </w:r>
      <w:r w:rsidRPr="00012E42">
        <w:t xml:space="preserve"> de deux arguments qui forment une suite logique.</w:t>
      </w:r>
      <w:r w:rsidRPr="00012E42">
        <w:br/>
        <w:t> </w:t>
      </w:r>
      <w:r w:rsidRPr="00012E42">
        <w:rPr>
          <w:noProof/>
        </w:rPr>
        <w:drawing>
          <wp:inline distT="0" distB="0" distL="0" distR="0">
            <wp:extent cx="76200" cy="76200"/>
            <wp:effectExtent l="19050" t="0" r="0" b="0"/>
            <wp:docPr id="18" name="Image 18" descr="http://www.espacefrancais.com/Images/puc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espacefrancais.com/Images/puce.gif"/>
                    <pic:cNvPicPr>
                      <a:picLocks noChangeAspect="1" noChangeArrowheads="1"/>
                    </pic:cNvPicPr>
                  </pic:nvPicPr>
                  <pic:blipFill>
                    <a:blip r:embed="rId4"/>
                    <a:srcRect/>
                    <a:stretch>
                      <a:fillRect/>
                    </a:stretch>
                  </pic:blipFill>
                  <pic:spPr bwMode="auto">
                    <a:xfrm>
                      <a:off x="0" y="0"/>
                      <a:ext cx="76200" cy="76200"/>
                    </a:xfrm>
                    <a:prstGeom prst="rect">
                      <a:avLst/>
                    </a:prstGeom>
                    <a:noFill/>
                    <a:ln w="9525">
                      <a:noFill/>
                      <a:miter lim="800000"/>
                      <a:headEnd/>
                      <a:tailEnd/>
                    </a:ln>
                  </pic:spPr>
                </pic:pic>
              </a:graphicData>
            </a:graphic>
          </wp:inline>
        </w:drawing>
      </w:r>
      <w:r w:rsidRPr="00012E42">
        <w:t xml:space="preserve">La composition du texte en </w:t>
      </w:r>
      <w:r w:rsidRPr="00012E42">
        <w:rPr>
          <w:b/>
          <w:bCs/>
        </w:rPr>
        <w:t>paragraphe</w:t>
      </w:r>
      <w:r w:rsidRPr="00012E42">
        <w:t>.</w:t>
      </w:r>
      <w:r w:rsidRPr="00012E42">
        <w:br/>
        <w:t> </w:t>
      </w:r>
      <w:r w:rsidRPr="00012E42">
        <w:rPr>
          <w:noProof/>
        </w:rPr>
        <w:drawing>
          <wp:inline distT="0" distB="0" distL="0" distR="0">
            <wp:extent cx="76200" cy="76200"/>
            <wp:effectExtent l="19050" t="0" r="0" b="0"/>
            <wp:docPr id="19" name="Image 19" descr="http://www.espacefrancais.com/Images/puc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espacefrancais.com/Images/puce.gif"/>
                    <pic:cNvPicPr>
                      <a:picLocks noChangeAspect="1" noChangeArrowheads="1"/>
                    </pic:cNvPicPr>
                  </pic:nvPicPr>
                  <pic:blipFill>
                    <a:blip r:embed="rId4"/>
                    <a:srcRect/>
                    <a:stretch>
                      <a:fillRect/>
                    </a:stretch>
                  </pic:blipFill>
                  <pic:spPr bwMode="auto">
                    <a:xfrm>
                      <a:off x="0" y="0"/>
                      <a:ext cx="76200" cy="76200"/>
                    </a:xfrm>
                    <a:prstGeom prst="rect">
                      <a:avLst/>
                    </a:prstGeom>
                    <a:noFill/>
                    <a:ln w="9525">
                      <a:noFill/>
                      <a:miter lim="800000"/>
                      <a:headEnd/>
                      <a:tailEnd/>
                    </a:ln>
                  </pic:spPr>
                </pic:pic>
              </a:graphicData>
            </a:graphic>
          </wp:inline>
        </w:drawing>
      </w:r>
      <w:r w:rsidRPr="00012E42">
        <w:t xml:space="preserve">Le </w:t>
      </w:r>
      <w:r w:rsidRPr="00012E42">
        <w:rPr>
          <w:b/>
          <w:bCs/>
        </w:rPr>
        <w:t>jeu des temps verbaux</w:t>
      </w:r>
      <w:r w:rsidRPr="00012E42">
        <w:t>.</w:t>
      </w:r>
    </w:p>
    <w:p w:rsidR="007B5F0F" w:rsidRPr="00012E42" w:rsidRDefault="007B5F0F" w:rsidP="007B5F0F">
      <w:pPr>
        <w:spacing w:before="0" w:beforeAutospacing="0" w:after="0" w:afterAutospacing="0"/>
      </w:pPr>
      <w:r w:rsidRPr="00012E42">
        <w:t xml:space="preserve">Dans d'autres cas, les relations entre les différents points du raisonnement sont </w:t>
      </w:r>
      <w:r w:rsidRPr="00012E42">
        <w:rPr>
          <w:b/>
          <w:bCs/>
        </w:rPr>
        <w:t>explicites</w:t>
      </w:r>
      <w:r w:rsidRPr="00012E42">
        <w:t xml:space="preserve"> par des </w:t>
      </w:r>
      <w:r w:rsidRPr="00012E42">
        <w:rPr>
          <w:b/>
          <w:bCs/>
          <w:u w:val="single"/>
        </w:rPr>
        <w:t>connecteurs logiques:</w:t>
      </w:r>
      <w:r w:rsidRPr="00012E42">
        <w:t xml:space="preserve"> adverbes, conjonctions de coordination ou de subordination.</w:t>
      </w:r>
    </w:p>
    <w:p w:rsidR="007B5F0F" w:rsidRPr="00012E42" w:rsidRDefault="007B5F0F" w:rsidP="007B5F0F">
      <w:pPr>
        <w:spacing w:before="0" w:beforeAutospacing="0" w:after="0" w:afterAutospacing="0"/>
      </w:pPr>
      <w:r w:rsidRPr="00012E42">
        <w:t>  </w:t>
      </w:r>
    </w:p>
    <w:p w:rsidR="007B5F0F" w:rsidRPr="00012E42" w:rsidRDefault="007B5F0F" w:rsidP="007B5F0F">
      <w:pPr>
        <w:spacing w:before="0" w:beforeAutospacing="0" w:after="0" w:afterAutospacing="0"/>
      </w:pPr>
      <w:bookmarkStart w:id="1" w:name="d"/>
      <w:bookmarkEnd w:id="1"/>
      <w:r w:rsidRPr="00012E42">
        <w:t>2. Tableau des principaux mots de liaison:</w:t>
      </w:r>
    </w:p>
    <w:p w:rsidR="007B5F0F" w:rsidRPr="00012E42" w:rsidRDefault="007B5F0F" w:rsidP="007B5F0F">
      <w:pPr>
        <w:spacing w:before="0" w:beforeAutospacing="0" w:after="0" w:afterAutospacing="0"/>
      </w:pPr>
      <w:r w:rsidRPr="00012E42">
        <w:t> </w:t>
      </w:r>
    </w:p>
    <w:tbl>
      <w:tblPr>
        <w:tblW w:w="4750" w:type="pct"/>
        <w:jc w:val="center"/>
        <w:tblCellSpacing w:w="0" w:type="dxa"/>
        <w:tblBorders>
          <w:top w:val="outset" w:sz="6" w:space="0" w:color="005DB6"/>
          <w:left w:val="outset" w:sz="6" w:space="0" w:color="005DB6"/>
          <w:bottom w:val="outset" w:sz="6" w:space="0" w:color="005DB6"/>
          <w:right w:val="outset" w:sz="6" w:space="0" w:color="005DB6"/>
        </w:tblBorders>
        <w:tblCellMar>
          <w:top w:w="45" w:type="dxa"/>
          <w:left w:w="45" w:type="dxa"/>
          <w:bottom w:w="45" w:type="dxa"/>
          <w:right w:w="45" w:type="dxa"/>
        </w:tblCellMar>
        <w:tblLook w:val="04A0"/>
      </w:tblPr>
      <w:tblGrid>
        <w:gridCol w:w="3056"/>
        <w:gridCol w:w="5676"/>
      </w:tblGrid>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63AEFF"/>
            <w:vAlign w:val="center"/>
            <w:hideMark/>
          </w:tcPr>
          <w:p w:rsidR="007B5F0F" w:rsidRPr="00012E42" w:rsidRDefault="007B5F0F" w:rsidP="00354743">
            <w:pPr>
              <w:spacing w:before="0" w:beforeAutospacing="0" w:after="0" w:afterAutospacing="0"/>
            </w:pPr>
            <w:r w:rsidRPr="00012E42">
              <w:t xml:space="preserve">Relation logique </w:t>
            </w:r>
          </w:p>
        </w:tc>
        <w:tc>
          <w:tcPr>
            <w:tcW w:w="3250" w:type="pct"/>
            <w:tcBorders>
              <w:top w:val="outset" w:sz="6" w:space="0" w:color="005DB6"/>
              <w:left w:val="outset" w:sz="6" w:space="0" w:color="005DB6"/>
              <w:bottom w:val="outset" w:sz="6" w:space="0" w:color="005DB6"/>
              <w:right w:val="outset" w:sz="6" w:space="0" w:color="005DB6"/>
            </w:tcBorders>
            <w:shd w:val="clear" w:color="auto" w:fill="63AEFF"/>
            <w:vAlign w:val="center"/>
            <w:hideMark/>
          </w:tcPr>
          <w:p w:rsidR="007B5F0F" w:rsidRPr="00012E42" w:rsidRDefault="007B5F0F" w:rsidP="00354743">
            <w:pPr>
              <w:spacing w:before="0" w:beforeAutospacing="0" w:after="0" w:afterAutospacing="0"/>
            </w:pPr>
            <w:r w:rsidRPr="00012E42">
              <w:t>Connecteurs (articulations) logiques / mots de liaison</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Addition ou gradation</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et, de plus, en outre, par ailleurs, surtout, puis, d'abord, ensuite, enfin, d'une part, d'autre part, non seulement ... mais encore, voire, de surcroît, d'ailleurs, avec, en plus de, outre, quant à, ou, outre que, sans compter que .....</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 xml:space="preserve">Classer </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puis, premièrement..., ensuite, d'une part ... d'autre part, non seulement ... mais encore, avant tout, d'abord .....</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Restriction ou opposition</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mais, cependant, en revanche, or, toutefois, pourtant, au contraire, néanmoins, malgré, en dépit de, sauf, hormis, excepté, tandis que, pendant que, alors que, tant + adverbe + adjectif + que, tout que, loin que, bien que, quoique, sans que, si ... que, quel que + verbe être + non .....</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Cause</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car, parce que, par, grâce à, en effet, en raison de, du fait que, dans la mesure où, à cause de, faute de, puisque, sous prétexte que, d'autant plus que, comme, étant donné que, vu que, non que .....</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Indiquer une conséquence</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 xml:space="preserve">ainsi, c'est pourquoi que, en conséquence, par suite, de là, </w:t>
            </w:r>
            <w:r w:rsidRPr="00012E42">
              <w:lastRenderedPageBreak/>
              <w:t>dès lors, par conséquent, aussi, de manière à, de façon à, si bien que, de sorte que, tellement que, au point ... que, de manière que, de façon que, tant ... que, si ... que, à tel point que, trop pour que, que, assez pour que .....</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lastRenderedPageBreak/>
              <w:t>Condition ou supposition ou hypothèse</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si, peut-être, probablement, sans doute, éventuellement, à condition de, avec, en cas de, pour que, suivant que, selon (+ règle de "si"), à supposer que, à moins que, à condition que, en admettant que, pour peu que, au cas où, dans l'hypothèse où, quand bien même, quand même, pourvu que....</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Comparaison ou équivalence ou parallèle</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ou, de même, ainsi, également, à la façon de, à l'image de, contrairement à, conformément à, comme, de même que, ainsi que / aussi ... que, autant ... que, tel ... que, plus ... que, plutôt ... que, moins ... que.....</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But</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pour, dans le but de, afin de, pour que, afin que, de crainte que, de peur que.....</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Indiquer une alternative</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ou, autrement, sinon, soit ... soit, ou ... ou.....</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Expliciter</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c'est-à-dire, en effet, en d'autres termes.....</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Illustrer</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par exemple, c'est ainsi que, comme, c'est le cas de.....</w:t>
            </w:r>
          </w:p>
        </w:tc>
      </w:tr>
      <w:tr w:rsidR="007B5F0F" w:rsidRPr="00012E42" w:rsidTr="00354743">
        <w:trPr>
          <w:tblCellSpacing w:w="0" w:type="dxa"/>
          <w:jc w:val="center"/>
        </w:trPr>
        <w:tc>
          <w:tcPr>
            <w:tcW w:w="1750" w:type="pct"/>
            <w:tcBorders>
              <w:top w:val="outset" w:sz="6" w:space="0" w:color="005DB6"/>
              <w:left w:val="outset" w:sz="6" w:space="0" w:color="005DB6"/>
              <w:bottom w:val="outset" w:sz="6" w:space="0" w:color="005DB6"/>
              <w:right w:val="outset" w:sz="6" w:space="0" w:color="005DB6"/>
            </w:tcBorders>
            <w:shd w:val="clear" w:color="auto" w:fill="B9E1FF"/>
            <w:vAlign w:val="center"/>
            <w:hideMark/>
          </w:tcPr>
          <w:p w:rsidR="007B5F0F" w:rsidRPr="00012E42" w:rsidRDefault="007B5F0F" w:rsidP="00354743">
            <w:pPr>
              <w:spacing w:before="0" w:beforeAutospacing="0" w:after="0" w:afterAutospacing="0"/>
            </w:pPr>
            <w:r w:rsidRPr="00012E42">
              <w:t>Conclure (utilisé surtout pour la conclusion d'une production écrite)</w:t>
            </w:r>
          </w:p>
        </w:tc>
        <w:tc>
          <w:tcPr>
            <w:tcW w:w="3250" w:type="pct"/>
            <w:tcBorders>
              <w:top w:val="outset" w:sz="6" w:space="0" w:color="005DB6"/>
              <w:left w:val="outset" w:sz="6" w:space="0" w:color="005DB6"/>
              <w:bottom w:val="outset" w:sz="6" w:space="0" w:color="005DB6"/>
              <w:right w:val="outset" w:sz="6" w:space="0" w:color="005DB6"/>
            </w:tcBorders>
            <w:shd w:val="clear" w:color="auto" w:fill="D5EBFF"/>
            <w:vAlign w:val="center"/>
            <w:hideMark/>
          </w:tcPr>
          <w:p w:rsidR="007B5F0F" w:rsidRPr="00012E42" w:rsidRDefault="007B5F0F" w:rsidP="00354743">
            <w:pPr>
              <w:spacing w:before="0" w:beforeAutospacing="0" w:after="0" w:afterAutospacing="0"/>
            </w:pPr>
            <w:r w:rsidRPr="00012E42">
              <w:t>au total, tout compte fait, tout bien considéré, en somme, en conclusion, finalement, somme toute, en peu de mots, à tout prendre, en définitive, après tout, en dernière analyse, en dernier lieu, à la fin, au terme de l'analyse, au fond, pour conclure, en bref, en guise de conclusion.....</w:t>
            </w:r>
          </w:p>
        </w:tc>
      </w:tr>
    </w:tbl>
    <w:p w:rsidR="007B5F0F" w:rsidRPr="00012E42" w:rsidRDefault="007B5F0F" w:rsidP="007B5F0F">
      <w:pPr>
        <w:spacing w:before="0" w:beforeAutospacing="0" w:after="0" w:afterAutospacing="0"/>
      </w:pPr>
    </w:p>
    <w:p w:rsidR="001C6CED" w:rsidRDefault="007B5F0F" w:rsidP="007B5F0F">
      <w:r w:rsidRPr="00012E42">
        <w:t>  </w:t>
      </w:r>
    </w:p>
    <w:sectPr w:rsidR="001C6CED" w:rsidSect="001C6CE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B5F0F"/>
    <w:rsid w:val="001C6CED"/>
    <w:rsid w:val="002853C9"/>
    <w:rsid w:val="007B5F0F"/>
    <w:rsid w:val="00E52B75"/>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5F0F"/>
    <w:pPr>
      <w:spacing w:before="100" w:beforeAutospacing="1" w:after="100" w:afterAutospacing="1" w:line="360" w:lineRule="auto"/>
    </w:pPr>
    <w:rPr>
      <w:rFonts w:asciiTheme="majorBidi" w:eastAsia="Times New Roman" w:hAnsiTheme="majorBidi" w:cstheme="majorBidi"/>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7B5F0F"/>
    <w:pPr>
      <w:spacing w:before="0"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B5F0F"/>
    <w:rPr>
      <w:rFonts w:ascii="Tahoma" w:eastAsia="Times New Roman" w:hAnsi="Tahoma" w:cs="Tahoma"/>
      <w:sz w:val="16"/>
      <w:szCs w:val="16"/>
      <w:lang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spacefrancais.com/orthographe/ponctuation.html" TargetMode="External"/><Relationship Id="rId4" Type="http://schemas.openxmlformats.org/officeDocument/2006/relationships/image" Target="media/image1.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520</Words>
  <Characters>2860</Characters>
  <Application>Microsoft Office Word</Application>
  <DocSecurity>0</DocSecurity>
  <Lines>23</Lines>
  <Paragraphs>6</Paragraphs>
  <ScaleCrop>false</ScaleCrop>
  <Company>Région Occitanie - Pyrénées-Méditerranée</Company>
  <LinksUpToDate>false</LinksUpToDate>
  <CharactersWithSpaces>3374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loRdi</dc:creator>
  <cp:lastModifiedBy>loRdi</cp:lastModifiedBy>
  <cp:revision>1</cp:revision>
  <dcterms:created xsi:type="dcterms:W3CDTF">2022-03-21T08:31:00Z</dcterms:created>
  <dcterms:modified xsi:type="dcterms:W3CDTF">2022-03-21T08:37:00Z</dcterms:modified>
</cp:coreProperties>
</file>